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61D8AD9" w14:textId="17374A16" w:rsidR="00CD6498" w:rsidRPr="009A2C73" w:rsidRDefault="003D1D01" w:rsidP="00D0581F">
      <w:pPr>
        <w:rPr>
          <w:rFonts w:cs="Arial"/>
          <w:b/>
          <w:bCs/>
          <w:sz w:val="32"/>
          <w:szCs w:val="32"/>
        </w:rPr>
      </w:pPr>
      <w:r>
        <w:rPr>
          <w:noProof/>
          <w:lang w:eastAsia="en-AU"/>
        </w:rPr>
        <mc:AlternateContent>
          <mc:Choice Requires="wps">
            <w:drawing>
              <wp:anchor distT="0" distB="0" distL="114300" distR="114300" simplePos="0" relativeHeight="251663360" behindDoc="0" locked="0" layoutInCell="1" allowOverlap="1" wp14:anchorId="3AC34BE1" wp14:editId="1AB21990">
                <wp:simplePos x="0" y="0"/>
                <wp:positionH relativeFrom="column">
                  <wp:posOffset>-116205</wp:posOffset>
                </wp:positionH>
                <wp:positionV relativeFrom="paragraph">
                  <wp:posOffset>0</wp:posOffset>
                </wp:positionV>
                <wp:extent cx="6019800" cy="59086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19800" cy="5908675"/>
                        </a:xfrm>
                        <a:prstGeom prst="rect">
                          <a:avLst/>
                        </a:prstGeom>
                        <a:noFill/>
                        <a:ln w="6350">
                          <a:noFill/>
                        </a:ln>
                      </wps:spPr>
                      <wps:txbx>
                        <w:txbxContent>
                          <w:tbl>
                            <w:tblPr>
                              <w:tblStyle w:val="TableGrid"/>
                              <w:tblW w:w="0" w:type="auto"/>
                              <w:tblLook w:val="04A0" w:firstRow="1" w:lastRow="0" w:firstColumn="1" w:lastColumn="0" w:noHBand="0" w:noVBand="1"/>
                            </w:tblPr>
                            <w:tblGrid>
                              <w:gridCol w:w="9182"/>
                            </w:tblGrid>
                            <w:tr w:rsidR="00D76477" w:rsidRPr="003440BA" w14:paraId="24286004" w14:textId="77777777" w:rsidTr="008135CA">
                              <w:tc>
                                <w:tcPr>
                                  <w:tcW w:w="9182" w:type="dxa"/>
                                </w:tcPr>
                                <w:p w14:paraId="3F726F66" w14:textId="3A0A471B" w:rsidR="00D76477" w:rsidRPr="007E5941" w:rsidRDefault="00D76477" w:rsidP="008135CA">
                                  <w:pPr>
                                    <w:pStyle w:val="CoverTitle"/>
                                    <w:rPr>
                                      <w:rFonts w:ascii="Palatino Linotype" w:hAnsi="Palatino Linotype"/>
                                    </w:rPr>
                                  </w:pPr>
                                  <w:r>
                                    <w:rPr>
                                      <w:rFonts w:ascii="Palatino Linotype" w:hAnsi="Palatino Linotype"/>
                                    </w:rPr>
                                    <w:t xml:space="preserve">Hidden forces </w:t>
                                  </w:r>
                                </w:p>
                              </w:tc>
                            </w:tr>
                            <w:tr w:rsidR="00D76477" w:rsidRPr="003440BA" w14:paraId="35B6E79B" w14:textId="77777777" w:rsidTr="008135CA">
                              <w:tc>
                                <w:tcPr>
                                  <w:tcW w:w="9182" w:type="dxa"/>
                                </w:tcPr>
                                <w:p w14:paraId="015381DE" w14:textId="763FFB21" w:rsidR="00D76477" w:rsidRDefault="00D76477" w:rsidP="00CD60C1">
                                  <w:pPr>
                                    <w:pStyle w:val="CoverAuthors"/>
                                    <w:rPr>
                                      <w:rFonts w:ascii="Arial" w:hAnsi="Arial" w:cs="Arial"/>
                                    </w:rPr>
                                  </w:pPr>
                                  <w:r>
                                    <w:rPr>
                                      <w:rFonts w:ascii="Arial" w:hAnsi="Arial" w:cs="Arial"/>
                                    </w:rPr>
                                    <w:t>A white paper on reproductive coercion in contexts of family and domestic violence</w:t>
                                  </w:r>
                                </w:p>
                                <w:p w14:paraId="0F920E3D" w14:textId="77777777" w:rsidR="00D76477" w:rsidRDefault="00D76477" w:rsidP="00CD60C1">
                                  <w:pPr>
                                    <w:pStyle w:val="CoverAuthors"/>
                                    <w:rPr>
                                      <w:rFonts w:ascii="Arial" w:hAnsi="Arial" w:cs="Arial"/>
                                    </w:rPr>
                                  </w:pPr>
                                </w:p>
                                <w:p w14:paraId="79867156" w14:textId="25587080" w:rsidR="00D76477" w:rsidRPr="007E5941" w:rsidRDefault="00D76477" w:rsidP="00CD60C1">
                                  <w:pPr>
                                    <w:pStyle w:val="CoverAuthors"/>
                                    <w:rPr>
                                      <w:rFonts w:ascii="Arial" w:hAnsi="Arial" w:cs="Arial"/>
                                    </w:rPr>
                                  </w:pPr>
                                  <w:r>
                                    <w:rPr>
                                      <w:rFonts w:ascii="Arial" w:hAnsi="Arial" w:cs="Arial"/>
                                    </w:rPr>
                                    <w:t>Second edition</w:t>
                                  </w:r>
                                </w:p>
                              </w:tc>
                            </w:tr>
                          </w:tbl>
                          <w:p w14:paraId="6111FD12" w14:textId="77777777" w:rsidR="00D76477" w:rsidRPr="00421095" w:rsidRDefault="00D76477" w:rsidP="003D1D01">
                            <w:pPr>
                              <w:rPr>
                                <w:rFonts w:ascii="Palatino" w:hAnsi="Palatino" w:cs="Arial"/>
                                <w:b/>
                                <w:bCs/>
                                <w:sz w:val="72"/>
                                <w:szCs w:val="72"/>
                              </w:rPr>
                            </w:pPr>
                          </w:p>
                          <w:p w14:paraId="58063D1D" w14:textId="77777777" w:rsidR="00D76477" w:rsidRPr="00421095" w:rsidRDefault="00D76477" w:rsidP="003440BA">
                            <w:pPr>
                              <w:rPr>
                                <w:rFonts w:ascii="Palatino" w:hAnsi="Palatino" w:cs="Arial"/>
                                <w:b/>
                                <w:bC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34BE1" id="_x0000_t202" coordsize="21600,21600" o:spt="202" path="m,l,21600r21600,l21600,xe">
                <v:stroke joinstyle="miter"/>
                <v:path gradientshapeok="t" o:connecttype="rect"/>
              </v:shapetype>
              <v:shape id="Text Box 1" o:spid="_x0000_s1026" type="#_x0000_t202" style="position:absolute;margin-left:-9.15pt;margin-top:0;width:474pt;height:4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" filled="f" stroked="f" strokeweight=".5pt">
                <v:textbox>
                  <w:txbxContent>
                    <w:tbl>
                      <w:tblPr>
                        <w:tblStyle w:val="TableGrid"/>
                        <w:tblW w:w="0" w:type="auto"/>
                        <w:tblLook w:val="04A0" w:firstRow="1" w:lastRow="0" w:firstColumn="1" w:lastColumn="0" w:noHBand="0" w:noVBand="1"/>
                      </w:tblPr>
                      <w:tblGrid>
                        <w:gridCol w:w="9182"/>
                      </w:tblGrid>
                      <w:tr w:rsidR="00D76477" w:rsidRPr="003440BA" w14:paraId="24286004" w14:textId="77777777" w:rsidTr="008135CA">
                        <w:tc>
                          <w:tcPr>
                            <w:tcW w:w="9182" w:type="dxa"/>
                          </w:tcPr>
                          <w:p w14:paraId="3F726F66" w14:textId="3A0A471B" w:rsidR="00D76477" w:rsidRPr="007E5941" w:rsidRDefault="00D76477" w:rsidP="008135CA">
                            <w:pPr>
                              <w:pStyle w:val="CoverTitle"/>
                              <w:rPr>
                                <w:rFonts w:ascii="Palatino Linotype" w:hAnsi="Palatino Linotype"/>
                              </w:rPr>
                            </w:pPr>
                            <w:r>
                              <w:rPr>
                                <w:rFonts w:ascii="Palatino Linotype" w:hAnsi="Palatino Linotype"/>
                              </w:rPr>
                              <w:t xml:space="preserve">Hidden forces </w:t>
                            </w:r>
                          </w:p>
                        </w:tc>
                      </w:tr>
                      <w:tr w:rsidR="00D76477" w:rsidRPr="003440BA" w14:paraId="35B6E79B" w14:textId="77777777" w:rsidTr="008135CA">
                        <w:tc>
                          <w:tcPr>
                            <w:tcW w:w="9182" w:type="dxa"/>
                          </w:tcPr>
                          <w:p w14:paraId="015381DE" w14:textId="763FFB21" w:rsidR="00D76477" w:rsidRDefault="00D76477" w:rsidP="00CD60C1">
                            <w:pPr>
                              <w:pStyle w:val="CoverAuthors"/>
                              <w:rPr>
                                <w:rFonts w:ascii="Arial" w:hAnsi="Arial" w:cs="Arial"/>
                              </w:rPr>
                            </w:pPr>
                            <w:r>
                              <w:rPr>
                                <w:rFonts w:ascii="Arial" w:hAnsi="Arial" w:cs="Arial"/>
                              </w:rPr>
                              <w:t>A white paper on reproductive coercion in contexts of family and domestic violence</w:t>
                            </w:r>
                          </w:p>
                          <w:p w14:paraId="0F920E3D" w14:textId="77777777" w:rsidR="00D76477" w:rsidRDefault="00D76477" w:rsidP="00CD60C1">
                            <w:pPr>
                              <w:pStyle w:val="CoverAuthors"/>
                              <w:rPr>
                                <w:rFonts w:ascii="Arial" w:hAnsi="Arial" w:cs="Arial"/>
                              </w:rPr>
                            </w:pPr>
                          </w:p>
                          <w:p w14:paraId="79867156" w14:textId="25587080" w:rsidR="00D76477" w:rsidRPr="007E5941" w:rsidRDefault="00D76477" w:rsidP="00CD60C1">
                            <w:pPr>
                              <w:pStyle w:val="CoverAuthors"/>
                              <w:rPr>
                                <w:rFonts w:ascii="Arial" w:hAnsi="Arial" w:cs="Arial"/>
                              </w:rPr>
                            </w:pPr>
                            <w:r>
                              <w:rPr>
                                <w:rFonts w:ascii="Arial" w:hAnsi="Arial" w:cs="Arial"/>
                              </w:rPr>
                              <w:t>Second edition</w:t>
                            </w:r>
                          </w:p>
                        </w:tc>
                      </w:tr>
                    </w:tbl>
                    <w:p w14:paraId="6111FD12" w14:textId="77777777" w:rsidR="00D76477" w:rsidRPr="00421095" w:rsidRDefault="00D76477" w:rsidP="003D1D01">
                      <w:pPr>
                        <w:rPr>
                          <w:rFonts w:ascii="Palatino" w:hAnsi="Palatino" w:cs="Arial"/>
                          <w:b/>
                          <w:bCs/>
                          <w:sz w:val="72"/>
                          <w:szCs w:val="72"/>
                        </w:rPr>
                      </w:pPr>
                    </w:p>
                    <w:p w14:paraId="58063D1D" w14:textId="77777777" w:rsidR="00D76477" w:rsidRPr="00421095" w:rsidRDefault="00D76477" w:rsidP="003440BA">
                      <w:pPr>
                        <w:rPr>
                          <w:rFonts w:ascii="Palatino" w:hAnsi="Palatino" w:cs="Arial"/>
                          <w:b/>
                          <w:bCs/>
                          <w:sz w:val="72"/>
                          <w:szCs w:val="72"/>
                        </w:rPr>
                      </w:pPr>
                    </w:p>
                  </w:txbxContent>
                </v:textbox>
                <w10:wrap type="square"/>
              </v:shape>
            </w:pict>
          </mc:Fallback>
        </mc:AlternateContent>
      </w:r>
      <w:r w:rsidR="00527B57">
        <w:rPr>
          <w:noProof/>
          <w:sz w:val="16"/>
          <w:szCs w:val="16"/>
          <w:lang w:eastAsia="en-AU"/>
        </w:rPr>
        <mc:AlternateContent>
          <mc:Choice Requires="wps">
            <w:drawing>
              <wp:anchor distT="0" distB="0" distL="114300" distR="114300" simplePos="0" relativeHeight="251654142" behindDoc="0" locked="0" layoutInCell="1" allowOverlap="1" wp14:anchorId="7BCD7947" wp14:editId="134436CD">
                <wp:simplePos x="0" y="0"/>
                <wp:positionH relativeFrom="column">
                  <wp:posOffset>-900430</wp:posOffset>
                </wp:positionH>
                <wp:positionV relativeFrom="paragraph">
                  <wp:posOffset>-1440180</wp:posOffset>
                </wp:positionV>
                <wp:extent cx="7560310" cy="8623300"/>
                <wp:effectExtent l="0" t="0" r="21590" b="25400"/>
                <wp:wrapNone/>
                <wp:docPr id="34" name="Rectangle 34"/>
                <wp:cNvGraphicFramePr/>
                <a:graphic xmlns:a="http://schemas.openxmlformats.org/drawingml/2006/main">
                  <a:graphicData uri="http://schemas.microsoft.com/office/word/2010/wordprocessingShape">
                    <wps:wsp>
                      <wps:cNvSpPr/>
                      <wps:spPr>
                        <a:xfrm>
                          <a:off x="0" y="0"/>
                          <a:ext cx="7560310" cy="8623300"/>
                        </a:xfrm>
                        <a:prstGeom prst="rect">
                          <a:avLst/>
                        </a:prstGeom>
                        <a:solidFill>
                          <a:srgbClr val="9BAF9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D7B50" id="Rectangle 34" o:spid="_x0000_s1026" style="position:absolute;margin-left:-70.9pt;margin-top:-113.4pt;width:595.3pt;height:679pt;z-index:2516541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" fillcolor="#9baf91" strokecolor="#1f4d78 [1604]" strokeweight="1pt"/>
            </w:pict>
          </mc:Fallback>
        </mc:AlternateContent>
      </w:r>
      <w:r w:rsidR="00BE37C2">
        <w:rPr>
          <w:rFonts w:cs="Arial"/>
          <w:b/>
          <w:bCs/>
          <w:sz w:val="32"/>
          <w:szCs w:val="32"/>
        </w:rPr>
        <w:t xml:space="preserve"> </w:t>
      </w:r>
      <w:r w:rsidR="008135CA">
        <w:rPr>
          <w:rFonts w:cs="Arial"/>
          <w:b/>
          <w:bCs/>
          <w:sz w:val="32"/>
          <w:szCs w:val="32"/>
        </w:rPr>
        <w:t xml:space="preserve"> </w:t>
      </w:r>
    </w:p>
    <w:p w14:paraId="66649067" w14:textId="3E8C20C4" w:rsidR="00CD6498" w:rsidRPr="009A2C73" w:rsidRDefault="00CD6498" w:rsidP="00D0581F">
      <w:pPr>
        <w:rPr>
          <w:rFonts w:cs="Arial"/>
          <w:b/>
          <w:bCs/>
          <w:sz w:val="32"/>
          <w:szCs w:val="32"/>
        </w:rPr>
      </w:pPr>
    </w:p>
    <w:p w14:paraId="3B04BD13" w14:textId="1DCF5ABC" w:rsidR="00CD6498" w:rsidRPr="009A2C73" w:rsidRDefault="00CD6498" w:rsidP="00D0581F">
      <w:pPr>
        <w:rPr>
          <w:rFonts w:cs="Arial"/>
          <w:b/>
          <w:bCs/>
          <w:sz w:val="32"/>
          <w:szCs w:val="32"/>
        </w:rPr>
      </w:pPr>
    </w:p>
    <w:p w14:paraId="1B4E536F" w14:textId="032F49A1" w:rsidR="00CD6498" w:rsidRPr="009A2C73" w:rsidRDefault="00536462" w:rsidP="00D0581F">
      <w:pPr>
        <w:tabs>
          <w:tab w:val="left" w:pos="5630"/>
        </w:tabs>
        <w:rPr>
          <w:rFonts w:cs="Arial"/>
          <w:b/>
          <w:bCs/>
          <w:sz w:val="32"/>
          <w:szCs w:val="32"/>
        </w:rPr>
      </w:pPr>
      <w:r w:rsidRPr="009A2C73">
        <w:rPr>
          <w:rFonts w:cs="Arial"/>
          <w:b/>
          <w:bCs/>
          <w:sz w:val="32"/>
          <w:szCs w:val="32"/>
        </w:rPr>
        <w:tab/>
      </w:r>
    </w:p>
    <w:p w14:paraId="26E38AD0" w14:textId="304CA612" w:rsidR="00CD6498" w:rsidRDefault="00CD6498" w:rsidP="00D0581F">
      <w:pPr>
        <w:rPr>
          <w:rFonts w:cs="Arial"/>
          <w:b/>
          <w:bCs/>
          <w:sz w:val="32"/>
          <w:szCs w:val="32"/>
        </w:rPr>
      </w:pPr>
    </w:p>
    <w:p w14:paraId="2E0A056D" w14:textId="40804E84" w:rsidR="002C43DC" w:rsidRPr="009A2C73" w:rsidRDefault="002C43DC" w:rsidP="00D0581F">
      <w:pPr>
        <w:rPr>
          <w:rFonts w:cs="Arial"/>
          <w:b/>
          <w:bCs/>
          <w:sz w:val="32"/>
          <w:szCs w:val="32"/>
        </w:rPr>
      </w:pPr>
    </w:p>
    <w:p w14:paraId="02511DF7" w14:textId="64F204CB" w:rsidR="00CD6498" w:rsidRPr="009A2C73" w:rsidRDefault="00CD6498" w:rsidP="00D0581F">
      <w:pPr>
        <w:rPr>
          <w:rFonts w:cs="Arial"/>
          <w:b/>
          <w:bCs/>
          <w:sz w:val="32"/>
          <w:szCs w:val="32"/>
        </w:rPr>
      </w:pPr>
    </w:p>
    <w:p w14:paraId="33D46986" w14:textId="48285F8F" w:rsidR="00CD6498" w:rsidRPr="009A2C73" w:rsidRDefault="0059129A" w:rsidP="00D0581F">
      <w:pPr>
        <w:spacing w:after="160"/>
        <w:rPr>
          <w:rFonts w:cs="Arial"/>
          <w:b/>
          <w:bCs/>
          <w:szCs w:val="24"/>
        </w:rPr>
      </w:pPr>
      <w:r>
        <w:rPr>
          <w:rFonts w:cs="Arial"/>
          <w:b/>
          <w:bCs/>
          <w:noProof/>
          <w:sz w:val="32"/>
          <w:szCs w:val="32"/>
          <w:lang w:eastAsia="en-AU"/>
        </w:rPr>
        <w:drawing>
          <wp:anchor distT="0" distB="0" distL="114300" distR="114300" simplePos="0" relativeHeight="251675648" behindDoc="0" locked="0" layoutInCell="1" allowOverlap="1" wp14:anchorId="75D66ECF" wp14:editId="6412E183">
            <wp:simplePos x="0" y="0"/>
            <wp:positionH relativeFrom="margin">
              <wp:posOffset>-754380</wp:posOffset>
            </wp:positionH>
            <wp:positionV relativeFrom="paragraph">
              <wp:posOffset>295275</wp:posOffset>
            </wp:positionV>
            <wp:extent cx="1972945" cy="525780"/>
            <wp:effectExtent l="0" t="0" r="8255" b="762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945" cy="525780"/>
                    </a:xfrm>
                    <a:prstGeom prst="rect">
                      <a:avLst/>
                    </a:prstGeom>
                  </pic:spPr>
                </pic:pic>
              </a:graphicData>
            </a:graphic>
            <wp14:sizeRelH relativeFrom="margin">
              <wp14:pctWidth>0</wp14:pctWidth>
            </wp14:sizeRelH>
            <wp14:sizeRelV relativeFrom="margin">
              <wp14:pctHeight>0</wp14:pctHeight>
            </wp14:sizeRelV>
          </wp:anchor>
        </w:drawing>
      </w:r>
      <w:r w:rsidR="00CD6498" w:rsidRPr="009A2C73">
        <w:rPr>
          <w:rFonts w:cs="Arial"/>
          <w:b/>
          <w:bCs/>
          <w:szCs w:val="24"/>
        </w:rPr>
        <w:br w:type="page"/>
      </w:r>
    </w:p>
    <w:p w14:paraId="34186298" w14:textId="50AA53CE" w:rsidR="00BE08D7" w:rsidRPr="009A2C73" w:rsidRDefault="00BE08D7" w:rsidP="00D0581F">
      <w:pPr>
        <w:pStyle w:val="Heading1"/>
        <w:spacing w:line="276" w:lineRule="auto"/>
        <w:rPr>
          <w:rFonts w:cs="Arial"/>
        </w:rPr>
      </w:pPr>
      <w:bookmarkStart w:id="0" w:name="_Toc37313697"/>
      <w:bookmarkStart w:id="1" w:name="_Toc37318292"/>
      <w:bookmarkStart w:id="2" w:name="_Toc37940528"/>
      <w:bookmarkStart w:id="3" w:name="_Toc42767794"/>
      <w:bookmarkStart w:id="4" w:name="_Toc42872955"/>
      <w:bookmarkStart w:id="5" w:name="_Toc45537392"/>
      <w:bookmarkStart w:id="6" w:name="_Toc45541000"/>
      <w:bookmarkStart w:id="7" w:name="_Toc46222493"/>
      <w:bookmarkStart w:id="8" w:name="_Toc46223061"/>
      <w:bookmarkStart w:id="9" w:name="_Toc46225013"/>
      <w:bookmarkStart w:id="10" w:name="_Toc46418775"/>
      <w:bookmarkStart w:id="11" w:name="_Toc49267148"/>
      <w:bookmarkStart w:id="12" w:name="_Toc49327899"/>
      <w:bookmarkStart w:id="13" w:name="_Toc49943528"/>
      <w:bookmarkStart w:id="14" w:name="_Toc49947615"/>
      <w:bookmarkStart w:id="15" w:name="_Toc56495399"/>
      <w:bookmarkStart w:id="16" w:name="_Toc56509184"/>
      <w:bookmarkStart w:id="17" w:name="_Toc56510127"/>
      <w:bookmarkStart w:id="18" w:name="_Toc57039815"/>
      <w:bookmarkStart w:id="19" w:name="_Toc57058805"/>
      <w:bookmarkStart w:id="20" w:name="_Toc57309886"/>
      <w:bookmarkStart w:id="21" w:name="_Toc57368571"/>
      <w:r w:rsidRPr="009A2C73">
        <w:rPr>
          <w:rFonts w:cs="Arial"/>
        </w:rPr>
        <w:lastRenderedPageBreak/>
        <w:t>Acknowledgement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68B2196" w14:textId="77777777" w:rsidR="00DD5E95" w:rsidRPr="009A2C73" w:rsidRDefault="00BE08D7" w:rsidP="00D0581F">
      <w:pPr>
        <w:rPr>
          <w:rFonts w:cs="Arial"/>
          <w:iCs/>
          <w:szCs w:val="24"/>
          <w:lang w:eastAsia="en-AU"/>
        </w:rPr>
      </w:pPr>
      <w:r w:rsidRPr="009A2C73">
        <w:rPr>
          <w:rFonts w:cs="Arial"/>
          <w:iCs/>
          <w:szCs w:val="24"/>
          <w:lang w:eastAsia="en-AU"/>
        </w:rPr>
        <w:t>Marie Stopes Australia acknowledges the Traditional Owners and Custodians of the land on which we live and work. We pay our respects to Aboriginal and Torres Strait Islander Elders past</w:t>
      </w:r>
      <w:r w:rsidR="000E7D87" w:rsidRPr="009A2C73">
        <w:rPr>
          <w:rFonts w:cs="Arial"/>
          <w:iCs/>
          <w:szCs w:val="24"/>
          <w:lang w:eastAsia="en-AU"/>
        </w:rPr>
        <w:t xml:space="preserve">, </w:t>
      </w:r>
      <w:r w:rsidRPr="009A2C73">
        <w:rPr>
          <w:rFonts w:cs="Arial"/>
          <w:iCs/>
          <w:szCs w:val="24"/>
          <w:lang w:eastAsia="en-AU"/>
        </w:rPr>
        <w:t>present</w:t>
      </w:r>
      <w:r w:rsidR="000E7D87" w:rsidRPr="009A2C73">
        <w:rPr>
          <w:rFonts w:cs="Arial"/>
          <w:iCs/>
          <w:szCs w:val="24"/>
          <w:lang w:eastAsia="en-AU"/>
        </w:rPr>
        <w:t xml:space="preserve"> and emerging</w:t>
      </w:r>
      <w:r w:rsidRPr="009A2C73">
        <w:rPr>
          <w:rFonts w:cs="Arial"/>
          <w:iCs/>
          <w:szCs w:val="24"/>
          <w:lang w:eastAsia="en-AU"/>
        </w:rPr>
        <w:t xml:space="preserve">. We also acknowledge the enduring connection to their Traditional estates across Australia and to the ongoing passion, responsibility and commitment for their lands, waters, seas, </w:t>
      </w:r>
      <w:proofErr w:type="gramStart"/>
      <w:r w:rsidRPr="009A2C73">
        <w:rPr>
          <w:rFonts w:cs="Arial"/>
          <w:iCs/>
          <w:szCs w:val="24"/>
          <w:lang w:eastAsia="en-AU"/>
        </w:rPr>
        <w:t>flora</w:t>
      </w:r>
      <w:proofErr w:type="gramEnd"/>
      <w:r w:rsidRPr="009A2C73">
        <w:rPr>
          <w:rFonts w:cs="Arial"/>
          <w:iCs/>
          <w:szCs w:val="24"/>
          <w:lang w:eastAsia="en-AU"/>
        </w:rPr>
        <w:t xml:space="preserve"> and fauna as Traditional Owners and Custodians.</w:t>
      </w:r>
    </w:p>
    <w:p w14:paraId="42942C18" w14:textId="77777777" w:rsidR="00265BDB" w:rsidRPr="009A2C73" w:rsidRDefault="00265BDB" w:rsidP="00D0581F">
      <w:pPr>
        <w:rPr>
          <w:rFonts w:cs="Arial"/>
          <w:iCs/>
          <w:szCs w:val="24"/>
          <w:lang w:eastAsia="en-AU"/>
        </w:rPr>
      </w:pPr>
    </w:p>
    <w:p w14:paraId="496C5BD3" w14:textId="77777777" w:rsidR="00BE08D7" w:rsidRPr="009A2C73" w:rsidRDefault="00DD5E95" w:rsidP="00D0581F">
      <w:pPr>
        <w:pStyle w:val="Heading1"/>
        <w:spacing w:line="276" w:lineRule="auto"/>
        <w:rPr>
          <w:rFonts w:cs="Arial"/>
        </w:rPr>
      </w:pPr>
      <w:bookmarkStart w:id="22" w:name="_Toc37313698"/>
      <w:bookmarkStart w:id="23" w:name="_Toc37318293"/>
      <w:bookmarkStart w:id="24" w:name="_Toc37940529"/>
      <w:bookmarkStart w:id="25" w:name="_Toc42767795"/>
      <w:bookmarkStart w:id="26" w:name="_Toc42872956"/>
      <w:bookmarkStart w:id="27" w:name="_Toc45537393"/>
      <w:bookmarkStart w:id="28" w:name="_Toc45541001"/>
      <w:bookmarkStart w:id="29" w:name="_Toc46222494"/>
      <w:bookmarkStart w:id="30" w:name="_Toc46223062"/>
      <w:bookmarkStart w:id="31" w:name="_Toc46225014"/>
      <w:bookmarkStart w:id="32" w:name="_Toc46418776"/>
      <w:bookmarkStart w:id="33" w:name="_Toc49267149"/>
      <w:bookmarkStart w:id="34" w:name="_Toc49327900"/>
      <w:bookmarkStart w:id="35" w:name="_Toc49943529"/>
      <w:bookmarkStart w:id="36" w:name="_Toc49947616"/>
      <w:bookmarkStart w:id="37" w:name="_Toc56495400"/>
      <w:bookmarkStart w:id="38" w:name="_Toc56509185"/>
      <w:bookmarkStart w:id="39" w:name="_Toc56510128"/>
      <w:bookmarkStart w:id="40" w:name="_Toc57039816"/>
      <w:bookmarkStart w:id="41" w:name="_Toc57058806"/>
      <w:bookmarkStart w:id="42" w:name="_Toc57309887"/>
      <w:bookmarkStart w:id="43" w:name="_Toc57368572"/>
      <w:r w:rsidRPr="009A2C73">
        <w:rPr>
          <w:rFonts w:cs="Arial"/>
        </w:rPr>
        <w:t>Publication details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701C9B4" w14:textId="7370C2ED" w:rsidR="00BE08D7" w:rsidRPr="00071E5A" w:rsidRDefault="00DD5E95" w:rsidP="00D0581F">
      <w:pPr>
        <w:pStyle w:val="Default"/>
        <w:spacing w:after="120" w:line="276" w:lineRule="auto"/>
        <w:rPr>
          <w:color w:val="auto"/>
        </w:rPr>
      </w:pPr>
      <w:r w:rsidRPr="009A2C73">
        <w:rPr>
          <w:color w:val="auto"/>
        </w:rPr>
        <w:t>Published by</w:t>
      </w:r>
      <w:r w:rsidR="00071E5A">
        <w:rPr>
          <w:color w:val="auto"/>
        </w:rPr>
        <w:br/>
      </w:r>
      <w:r w:rsidR="00BE08D7" w:rsidRPr="009A2C73">
        <w:rPr>
          <w:color w:val="auto"/>
        </w:rPr>
        <w:t xml:space="preserve">Marie Stopes Australia (Marie Stopes International) </w:t>
      </w:r>
      <w:r w:rsidR="00071E5A">
        <w:rPr>
          <w:color w:val="auto"/>
        </w:rPr>
        <w:br/>
      </w:r>
      <w:r w:rsidR="00BE08D7" w:rsidRPr="009A2C73">
        <w:t>GPO Box 1635, Melbourne VIC, 3001</w:t>
      </w:r>
    </w:p>
    <w:p w14:paraId="3843FCC8" w14:textId="77777777" w:rsidR="00DD5E95" w:rsidRPr="009A2C73" w:rsidRDefault="00DD5E95" w:rsidP="00D0581F">
      <w:pPr>
        <w:pStyle w:val="Default"/>
        <w:spacing w:after="120" w:line="276" w:lineRule="auto"/>
        <w:rPr>
          <w:color w:val="auto"/>
        </w:rPr>
      </w:pPr>
      <w:r w:rsidRPr="009A2C73">
        <w:rPr>
          <w:color w:val="auto"/>
        </w:rPr>
        <w:t xml:space="preserve">© Marie Stopes </w:t>
      </w:r>
      <w:r w:rsidRPr="00CD60C1">
        <w:rPr>
          <w:color w:val="auto"/>
        </w:rPr>
        <w:t>Australia 2020</w:t>
      </w:r>
    </w:p>
    <w:p w14:paraId="23455D99" w14:textId="77777777" w:rsidR="00265BDB" w:rsidRPr="009A2C73" w:rsidRDefault="00265BDB" w:rsidP="00D0581F">
      <w:pPr>
        <w:rPr>
          <w:rFonts w:cs="Arial"/>
          <w:szCs w:val="24"/>
        </w:rPr>
      </w:pPr>
    </w:p>
    <w:p w14:paraId="3724815D" w14:textId="77777777" w:rsidR="004F160C" w:rsidRPr="00451DE4" w:rsidRDefault="00451DE4" w:rsidP="00D0581F">
      <w:pPr>
        <w:pStyle w:val="Heading1"/>
        <w:spacing w:line="276" w:lineRule="auto"/>
      </w:pPr>
      <w:bookmarkStart w:id="44" w:name="_Toc49267150"/>
      <w:bookmarkStart w:id="45" w:name="_Toc49327901"/>
      <w:bookmarkStart w:id="46" w:name="_Toc49943530"/>
      <w:bookmarkStart w:id="47" w:name="_Toc49947617"/>
      <w:bookmarkStart w:id="48" w:name="_Toc56495401"/>
      <w:bookmarkStart w:id="49" w:name="_Toc56509186"/>
      <w:bookmarkStart w:id="50" w:name="_Toc56510129"/>
      <w:bookmarkStart w:id="51" w:name="_Toc57039817"/>
      <w:bookmarkStart w:id="52" w:name="_Toc57058807"/>
      <w:bookmarkStart w:id="53" w:name="_Toc57309888"/>
      <w:bookmarkStart w:id="54" w:name="_Toc57368573"/>
      <w:r w:rsidRPr="00451DE4">
        <w:t>Disclaimer</w:t>
      </w:r>
      <w:bookmarkEnd w:id="44"/>
      <w:bookmarkEnd w:id="45"/>
      <w:bookmarkEnd w:id="46"/>
      <w:bookmarkEnd w:id="47"/>
      <w:bookmarkEnd w:id="48"/>
      <w:bookmarkEnd w:id="49"/>
      <w:bookmarkEnd w:id="50"/>
      <w:bookmarkEnd w:id="51"/>
      <w:bookmarkEnd w:id="52"/>
      <w:bookmarkEnd w:id="53"/>
      <w:bookmarkEnd w:id="54"/>
    </w:p>
    <w:p w14:paraId="0E838AE7" w14:textId="77777777" w:rsidR="00451DE4" w:rsidRPr="00CD60C1" w:rsidRDefault="00451DE4" w:rsidP="00D0581F">
      <w:pPr>
        <w:pStyle w:val="BodyText"/>
        <w:spacing w:line="276" w:lineRule="auto"/>
        <w:rPr>
          <w:rFonts w:ascii="Arial" w:hAnsi="Arial" w:cs="Arial"/>
          <w:color w:val="000000" w:themeColor="text1"/>
          <w:sz w:val="24"/>
          <w:szCs w:val="24"/>
        </w:rPr>
      </w:pPr>
      <w:r w:rsidRPr="00CD60C1">
        <w:rPr>
          <w:rFonts w:ascii="Arial" w:hAnsi="Arial" w:cs="Arial"/>
          <w:color w:val="000000" w:themeColor="text1"/>
          <w:sz w:val="24"/>
          <w:szCs w:val="24"/>
          <w:shd w:val="clear" w:color="auto" w:fill="FFFFFF"/>
        </w:rPr>
        <w:t xml:space="preserve">The paper is intended to give general information about the law.  It has been prepared by law students and the content </w:t>
      </w:r>
      <w:r w:rsidRPr="00CD60C1">
        <w:rPr>
          <w:rStyle w:val="Strong"/>
          <w:rFonts w:ascii="Arial" w:hAnsi="Arial" w:cs="Arial"/>
          <w:b w:val="0"/>
          <w:color w:val="000000" w:themeColor="text1"/>
          <w:sz w:val="24"/>
          <w:szCs w:val="24"/>
          <w:bdr w:val="none" w:sz="0" w:space="0" w:color="auto" w:frame="1"/>
          <w:shd w:val="clear" w:color="auto" w:fill="FFFFFF"/>
        </w:rPr>
        <w:t>does not, and cannot, constitute legal advice</w:t>
      </w:r>
      <w:r w:rsidRPr="00CD60C1">
        <w:rPr>
          <w:rFonts w:ascii="Arial" w:hAnsi="Arial" w:cs="Arial"/>
          <w:color w:val="000000" w:themeColor="text1"/>
          <w:sz w:val="24"/>
          <w:szCs w:val="24"/>
          <w:shd w:val="clear" w:color="auto" w:fill="FFFFFF"/>
        </w:rPr>
        <w:t>. To the maximum extent permitted by law, Marie Stopes Australia and all other contributors to this paper are not responsible for, and do not accept any liability for, any loss, damage or injury, financial or otherwise, suffered by any person acting or relying on information contained in or omitted from this paper.</w:t>
      </w:r>
      <w:r w:rsidRPr="00CD60C1">
        <w:rPr>
          <w:rFonts w:ascii="Arial" w:hAnsi="Arial" w:cs="Arial"/>
          <w:color w:val="000000" w:themeColor="text1"/>
          <w:sz w:val="24"/>
          <w:szCs w:val="24"/>
        </w:rPr>
        <w:t xml:space="preserve">  </w:t>
      </w:r>
    </w:p>
    <w:p w14:paraId="677489A5" w14:textId="74C60967" w:rsidR="00BE08D7" w:rsidRPr="00CD60C1" w:rsidRDefault="00451DE4" w:rsidP="00D0581F">
      <w:pPr>
        <w:pStyle w:val="Default"/>
        <w:spacing w:after="120" w:line="276" w:lineRule="auto"/>
        <w:rPr>
          <w:color w:val="000000" w:themeColor="text1"/>
        </w:rPr>
      </w:pPr>
      <w:r w:rsidRPr="00CD60C1">
        <w:rPr>
          <w:color w:val="000000" w:themeColor="text1"/>
          <w:shd w:val="clear" w:color="auto" w:fill="FFFFFF"/>
        </w:rPr>
        <w:t xml:space="preserve">Marie Stopes Australia </w:t>
      </w:r>
      <w:r w:rsidRPr="00CD60C1">
        <w:rPr>
          <w:color w:val="000000" w:themeColor="text1"/>
        </w:rPr>
        <w:t xml:space="preserve">make no claims, guarantees or warranties about the accuracy, completeness, timeliness, </w:t>
      </w:r>
      <w:proofErr w:type="gramStart"/>
      <w:r w:rsidRPr="00CD60C1">
        <w:rPr>
          <w:color w:val="000000" w:themeColor="text1"/>
        </w:rPr>
        <w:t>quality</w:t>
      </w:r>
      <w:proofErr w:type="gramEnd"/>
      <w:r w:rsidRPr="00CD60C1">
        <w:rPr>
          <w:color w:val="000000" w:themeColor="text1"/>
        </w:rPr>
        <w:t xml:space="preserve"> or suitability for a particular use of this information. It is the responsibility of the user to verify the accuracy, completeness, timeliness, </w:t>
      </w:r>
      <w:proofErr w:type="gramStart"/>
      <w:r w:rsidRPr="00CD60C1">
        <w:rPr>
          <w:color w:val="000000" w:themeColor="text1"/>
        </w:rPr>
        <w:t>quality</w:t>
      </w:r>
      <w:proofErr w:type="gramEnd"/>
      <w:r w:rsidRPr="00CD60C1">
        <w:rPr>
          <w:color w:val="000000" w:themeColor="text1"/>
        </w:rPr>
        <w:t xml:space="preserve"> or suitability for a particular use of this information.</w:t>
      </w:r>
    </w:p>
    <w:p w14:paraId="7CD174F3" w14:textId="77777777" w:rsidR="00BE08D7" w:rsidRPr="00CD60C1" w:rsidRDefault="006F2899" w:rsidP="00D0581F">
      <w:pPr>
        <w:pStyle w:val="Footer"/>
        <w:spacing w:line="276" w:lineRule="auto"/>
        <w:rPr>
          <w:color w:val="000000" w:themeColor="text1"/>
        </w:rPr>
      </w:pPr>
      <w:r w:rsidRPr="00CD60C1">
        <w:rPr>
          <w:color w:val="000000" w:themeColor="text1"/>
        </w:rPr>
        <w:br w:type="page"/>
      </w:r>
    </w:p>
    <w:sdt>
      <w:sdtPr>
        <w:rPr>
          <w:rFonts w:ascii="Arial" w:eastAsiaTheme="minorHAnsi" w:hAnsi="Arial" w:cs="Arial"/>
          <w:b/>
          <w:color w:val="auto"/>
          <w:sz w:val="24"/>
          <w:szCs w:val="22"/>
          <w:lang w:val="en-AU"/>
        </w:rPr>
        <w:id w:val="598380118"/>
        <w:docPartObj>
          <w:docPartGallery w:val="Table of Contents"/>
          <w:docPartUnique/>
        </w:docPartObj>
      </w:sdtPr>
      <w:sdtEndPr>
        <w:rPr>
          <w:b w:val="0"/>
          <w:bCs/>
          <w:noProof/>
        </w:rPr>
      </w:sdtEndPr>
      <w:sdtContent>
        <w:p w14:paraId="0A8091B5" w14:textId="0AD29D0F" w:rsidR="00BE08D7" w:rsidRDefault="00BE08D7" w:rsidP="00D0581F">
          <w:pPr>
            <w:pStyle w:val="TOCHeading"/>
            <w:spacing w:line="276" w:lineRule="auto"/>
            <w:rPr>
              <w:rFonts w:ascii="Arial" w:hAnsi="Arial" w:cs="Arial"/>
              <w:b/>
              <w:color w:val="auto"/>
            </w:rPr>
          </w:pPr>
          <w:r w:rsidRPr="009A2C73">
            <w:rPr>
              <w:rFonts w:ascii="Arial" w:hAnsi="Arial" w:cs="Arial"/>
              <w:b/>
              <w:color w:val="auto"/>
            </w:rPr>
            <w:t>Contents</w:t>
          </w:r>
        </w:p>
        <w:p w14:paraId="4CE00FEE" w14:textId="77777777" w:rsidR="00D0581F" w:rsidRPr="00D0581F" w:rsidRDefault="00D0581F" w:rsidP="00D0581F">
          <w:pPr>
            <w:rPr>
              <w:lang w:val="en-US"/>
            </w:rPr>
          </w:pPr>
        </w:p>
        <w:p w14:paraId="47B07399" w14:textId="195BDBE0" w:rsidR="00747E1A" w:rsidRDefault="00BE08D7">
          <w:pPr>
            <w:pStyle w:val="TOC1"/>
            <w:rPr>
              <w:rFonts w:asciiTheme="minorHAnsi" w:eastAsiaTheme="minorEastAsia" w:hAnsiTheme="minorHAnsi"/>
              <w:b w:val="0"/>
              <w:sz w:val="22"/>
              <w:lang w:eastAsia="en-AU"/>
            </w:rPr>
          </w:pPr>
          <w:r w:rsidRPr="009A2C73">
            <w:rPr>
              <w:rFonts w:cs="Arial"/>
            </w:rPr>
            <w:fldChar w:fldCharType="begin"/>
          </w:r>
          <w:r w:rsidRPr="009A2C73">
            <w:rPr>
              <w:rFonts w:cs="Arial"/>
            </w:rPr>
            <w:instrText xml:space="preserve"> TOC \o "1-3" \h \z \u </w:instrText>
          </w:r>
          <w:r w:rsidRPr="009A2C73">
            <w:rPr>
              <w:rFonts w:cs="Arial"/>
            </w:rPr>
            <w:fldChar w:fldCharType="separate"/>
          </w:r>
          <w:hyperlink w:anchor="_Toc57368571" w:history="1">
            <w:r w:rsidR="00747E1A" w:rsidRPr="0092569F">
              <w:rPr>
                <w:rStyle w:val="Hyperlink"/>
                <w:rFonts w:cs="Arial"/>
              </w:rPr>
              <w:t>Acknowledgement</w:t>
            </w:r>
            <w:r w:rsidR="00747E1A">
              <w:rPr>
                <w:webHidden/>
              </w:rPr>
              <w:tab/>
            </w:r>
            <w:r w:rsidR="00747E1A">
              <w:rPr>
                <w:webHidden/>
              </w:rPr>
              <w:fldChar w:fldCharType="begin"/>
            </w:r>
            <w:r w:rsidR="00747E1A">
              <w:rPr>
                <w:webHidden/>
              </w:rPr>
              <w:instrText xml:space="preserve"> PAGEREF _Toc57368571 \h </w:instrText>
            </w:r>
            <w:r w:rsidR="00747E1A">
              <w:rPr>
                <w:webHidden/>
              </w:rPr>
            </w:r>
            <w:r w:rsidR="00747E1A">
              <w:rPr>
                <w:webHidden/>
              </w:rPr>
              <w:fldChar w:fldCharType="separate"/>
            </w:r>
            <w:r w:rsidR="00747E1A">
              <w:rPr>
                <w:webHidden/>
              </w:rPr>
              <w:t>2</w:t>
            </w:r>
            <w:r w:rsidR="00747E1A">
              <w:rPr>
                <w:webHidden/>
              </w:rPr>
              <w:fldChar w:fldCharType="end"/>
            </w:r>
          </w:hyperlink>
        </w:p>
        <w:p w14:paraId="574F8C8C" w14:textId="5774F260" w:rsidR="00747E1A" w:rsidRDefault="00747E1A">
          <w:pPr>
            <w:pStyle w:val="TOC1"/>
            <w:rPr>
              <w:rFonts w:asciiTheme="minorHAnsi" w:eastAsiaTheme="minorEastAsia" w:hAnsiTheme="minorHAnsi"/>
              <w:b w:val="0"/>
              <w:sz w:val="22"/>
              <w:lang w:eastAsia="en-AU"/>
            </w:rPr>
          </w:pPr>
          <w:hyperlink w:anchor="_Toc57368572" w:history="1">
            <w:r w:rsidRPr="0092569F">
              <w:rPr>
                <w:rStyle w:val="Hyperlink"/>
                <w:rFonts w:cs="Arial"/>
              </w:rPr>
              <w:t>Publication details</w:t>
            </w:r>
            <w:r>
              <w:rPr>
                <w:webHidden/>
              </w:rPr>
              <w:tab/>
            </w:r>
            <w:r>
              <w:rPr>
                <w:webHidden/>
              </w:rPr>
              <w:fldChar w:fldCharType="begin"/>
            </w:r>
            <w:r>
              <w:rPr>
                <w:webHidden/>
              </w:rPr>
              <w:instrText xml:space="preserve"> PAGEREF _Toc57368572 \h </w:instrText>
            </w:r>
            <w:r>
              <w:rPr>
                <w:webHidden/>
              </w:rPr>
            </w:r>
            <w:r>
              <w:rPr>
                <w:webHidden/>
              </w:rPr>
              <w:fldChar w:fldCharType="separate"/>
            </w:r>
            <w:r>
              <w:rPr>
                <w:webHidden/>
              </w:rPr>
              <w:t>2</w:t>
            </w:r>
            <w:r>
              <w:rPr>
                <w:webHidden/>
              </w:rPr>
              <w:fldChar w:fldCharType="end"/>
            </w:r>
          </w:hyperlink>
        </w:p>
        <w:p w14:paraId="21CFBA24" w14:textId="2158EC52" w:rsidR="00747E1A" w:rsidRDefault="00747E1A">
          <w:pPr>
            <w:pStyle w:val="TOC1"/>
            <w:rPr>
              <w:rFonts w:asciiTheme="minorHAnsi" w:eastAsiaTheme="minorEastAsia" w:hAnsiTheme="minorHAnsi"/>
              <w:b w:val="0"/>
              <w:sz w:val="22"/>
              <w:lang w:eastAsia="en-AU"/>
            </w:rPr>
          </w:pPr>
          <w:hyperlink w:anchor="_Toc57368573" w:history="1">
            <w:r w:rsidRPr="0092569F">
              <w:rPr>
                <w:rStyle w:val="Hyperlink"/>
              </w:rPr>
              <w:t>Disclaimer</w:t>
            </w:r>
            <w:r>
              <w:rPr>
                <w:webHidden/>
              </w:rPr>
              <w:tab/>
            </w:r>
            <w:r>
              <w:rPr>
                <w:webHidden/>
              </w:rPr>
              <w:fldChar w:fldCharType="begin"/>
            </w:r>
            <w:r>
              <w:rPr>
                <w:webHidden/>
              </w:rPr>
              <w:instrText xml:space="preserve"> PAGEREF _Toc57368573 \h </w:instrText>
            </w:r>
            <w:r>
              <w:rPr>
                <w:webHidden/>
              </w:rPr>
            </w:r>
            <w:r>
              <w:rPr>
                <w:webHidden/>
              </w:rPr>
              <w:fldChar w:fldCharType="separate"/>
            </w:r>
            <w:r>
              <w:rPr>
                <w:webHidden/>
              </w:rPr>
              <w:t>2</w:t>
            </w:r>
            <w:r>
              <w:rPr>
                <w:webHidden/>
              </w:rPr>
              <w:fldChar w:fldCharType="end"/>
            </w:r>
          </w:hyperlink>
        </w:p>
        <w:p w14:paraId="3924C468" w14:textId="24EA6E52" w:rsidR="00747E1A" w:rsidRDefault="00747E1A">
          <w:pPr>
            <w:pStyle w:val="TOC1"/>
            <w:rPr>
              <w:rFonts w:asciiTheme="minorHAnsi" w:eastAsiaTheme="minorEastAsia" w:hAnsiTheme="minorHAnsi"/>
              <w:b w:val="0"/>
              <w:sz w:val="22"/>
              <w:lang w:eastAsia="en-AU"/>
            </w:rPr>
          </w:pPr>
          <w:hyperlink w:anchor="_Toc57368574" w:history="1">
            <w:r w:rsidRPr="0092569F">
              <w:rPr>
                <w:rStyle w:val="Hyperlink"/>
                <w:rFonts w:cs="Arial"/>
              </w:rPr>
              <w:t xml:space="preserve">1. </w:t>
            </w:r>
            <w:r w:rsidRPr="0092569F">
              <w:rPr>
                <w:rStyle w:val="Hyperlink"/>
              </w:rPr>
              <w:t>Acronyms</w:t>
            </w:r>
            <w:r>
              <w:rPr>
                <w:webHidden/>
              </w:rPr>
              <w:tab/>
            </w:r>
            <w:r>
              <w:rPr>
                <w:webHidden/>
              </w:rPr>
              <w:fldChar w:fldCharType="begin"/>
            </w:r>
            <w:r>
              <w:rPr>
                <w:webHidden/>
              </w:rPr>
              <w:instrText xml:space="preserve"> PAGEREF _Toc57368574 \h </w:instrText>
            </w:r>
            <w:r>
              <w:rPr>
                <w:webHidden/>
              </w:rPr>
            </w:r>
            <w:r>
              <w:rPr>
                <w:webHidden/>
              </w:rPr>
              <w:fldChar w:fldCharType="separate"/>
            </w:r>
            <w:r>
              <w:rPr>
                <w:webHidden/>
              </w:rPr>
              <w:t>5</w:t>
            </w:r>
            <w:r>
              <w:rPr>
                <w:webHidden/>
              </w:rPr>
              <w:fldChar w:fldCharType="end"/>
            </w:r>
          </w:hyperlink>
        </w:p>
        <w:p w14:paraId="528F8EA4" w14:textId="4F5C0524" w:rsidR="00747E1A" w:rsidRDefault="00747E1A">
          <w:pPr>
            <w:pStyle w:val="TOC1"/>
            <w:rPr>
              <w:rFonts w:asciiTheme="minorHAnsi" w:eastAsiaTheme="minorEastAsia" w:hAnsiTheme="minorHAnsi"/>
              <w:b w:val="0"/>
              <w:sz w:val="22"/>
              <w:lang w:eastAsia="en-AU"/>
            </w:rPr>
          </w:pPr>
          <w:hyperlink w:anchor="_Toc57368575" w:history="1">
            <w:r w:rsidRPr="0092569F">
              <w:rPr>
                <w:rStyle w:val="Hyperlink"/>
                <w:rFonts w:cs="Arial"/>
              </w:rPr>
              <w:t>2. Forewords</w:t>
            </w:r>
            <w:r>
              <w:rPr>
                <w:webHidden/>
              </w:rPr>
              <w:tab/>
            </w:r>
            <w:r>
              <w:rPr>
                <w:webHidden/>
              </w:rPr>
              <w:fldChar w:fldCharType="begin"/>
            </w:r>
            <w:r>
              <w:rPr>
                <w:webHidden/>
              </w:rPr>
              <w:instrText xml:space="preserve"> PAGEREF _Toc57368575 \h </w:instrText>
            </w:r>
            <w:r>
              <w:rPr>
                <w:webHidden/>
              </w:rPr>
            </w:r>
            <w:r>
              <w:rPr>
                <w:webHidden/>
              </w:rPr>
              <w:fldChar w:fldCharType="separate"/>
            </w:r>
            <w:r>
              <w:rPr>
                <w:webHidden/>
              </w:rPr>
              <w:t>7</w:t>
            </w:r>
            <w:r>
              <w:rPr>
                <w:webHidden/>
              </w:rPr>
              <w:fldChar w:fldCharType="end"/>
            </w:r>
          </w:hyperlink>
        </w:p>
        <w:p w14:paraId="686000A5" w14:textId="751AFB73" w:rsidR="00747E1A" w:rsidRDefault="00747E1A">
          <w:pPr>
            <w:pStyle w:val="TOC1"/>
            <w:rPr>
              <w:rFonts w:asciiTheme="minorHAnsi" w:eastAsiaTheme="minorEastAsia" w:hAnsiTheme="minorHAnsi"/>
              <w:b w:val="0"/>
              <w:sz w:val="22"/>
              <w:lang w:eastAsia="en-AU"/>
            </w:rPr>
          </w:pPr>
          <w:hyperlink w:anchor="_Toc57368576" w:history="1">
            <w:r w:rsidRPr="0092569F">
              <w:rPr>
                <w:rStyle w:val="Hyperlink"/>
                <w:rFonts w:cs="Arial"/>
              </w:rPr>
              <w:t>3. Executive summary</w:t>
            </w:r>
            <w:r>
              <w:rPr>
                <w:webHidden/>
              </w:rPr>
              <w:tab/>
            </w:r>
            <w:r>
              <w:rPr>
                <w:webHidden/>
              </w:rPr>
              <w:fldChar w:fldCharType="begin"/>
            </w:r>
            <w:r>
              <w:rPr>
                <w:webHidden/>
              </w:rPr>
              <w:instrText xml:space="preserve"> PAGEREF _Toc57368576 \h </w:instrText>
            </w:r>
            <w:r>
              <w:rPr>
                <w:webHidden/>
              </w:rPr>
            </w:r>
            <w:r>
              <w:rPr>
                <w:webHidden/>
              </w:rPr>
              <w:fldChar w:fldCharType="separate"/>
            </w:r>
            <w:r>
              <w:rPr>
                <w:webHidden/>
              </w:rPr>
              <w:t>10</w:t>
            </w:r>
            <w:r>
              <w:rPr>
                <w:webHidden/>
              </w:rPr>
              <w:fldChar w:fldCharType="end"/>
            </w:r>
          </w:hyperlink>
        </w:p>
        <w:p w14:paraId="46059654" w14:textId="58AD225E" w:rsidR="00747E1A" w:rsidRDefault="00747E1A">
          <w:pPr>
            <w:pStyle w:val="TOC2"/>
            <w:tabs>
              <w:tab w:val="right" w:leader="dot" w:pos="9060"/>
            </w:tabs>
            <w:rPr>
              <w:rFonts w:asciiTheme="minorHAnsi" w:eastAsiaTheme="minorEastAsia" w:hAnsiTheme="minorHAnsi"/>
              <w:noProof/>
              <w:sz w:val="22"/>
              <w:lang w:val="en-AU" w:eastAsia="en-AU"/>
            </w:rPr>
          </w:pPr>
          <w:hyperlink w:anchor="_Toc57368577" w:history="1">
            <w:r w:rsidRPr="0092569F">
              <w:rPr>
                <w:rStyle w:val="Hyperlink"/>
                <w:noProof/>
              </w:rPr>
              <w:t>What is reproductive coercion?</w:t>
            </w:r>
            <w:r>
              <w:rPr>
                <w:noProof/>
                <w:webHidden/>
              </w:rPr>
              <w:tab/>
            </w:r>
            <w:r>
              <w:rPr>
                <w:noProof/>
                <w:webHidden/>
              </w:rPr>
              <w:fldChar w:fldCharType="begin"/>
            </w:r>
            <w:r>
              <w:rPr>
                <w:noProof/>
                <w:webHidden/>
              </w:rPr>
              <w:instrText xml:space="preserve"> PAGEREF _Toc57368577 \h </w:instrText>
            </w:r>
            <w:r>
              <w:rPr>
                <w:noProof/>
                <w:webHidden/>
              </w:rPr>
            </w:r>
            <w:r>
              <w:rPr>
                <w:noProof/>
                <w:webHidden/>
              </w:rPr>
              <w:fldChar w:fldCharType="separate"/>
            </w:r>
            <w:r>
              <w:rPr>
                <w:noProof/>
                <w:webHidden/>
              </w:rPr>
              <w:t>10</w:t>
            </w:r>
            <w:r>
              <w:rPr>
                <w:noProof/>
                <w:webHidden/>
              </w:rPr>
              <w:fldChar w:fldCharType="end"/>
            </w:r>
          </w:hyperlink>
        </w:p>
        <w:p w14:paraId="5F64ECEE" w14:textId="00CED73E" w:rsidR="00747E1A" w:rsidRDefault="00747E1A">
          <w:pPr>
            <w:pStyle w:val="TOC2"/>
            <w:tabs>
              <w:tab w:val="right" w:leader="dot" w:pos="9060"/>
            </w:tabs>
            <w:rPr>
              <w:rFonts w:asciiTheme="minorHAnsi" w:eastAsiaTheme="minorEastAsia" w:hAnsiTheme="minorHAnsi"/>
              <w:noProof/>
              <w:sz w:val="22"/>
              <w:lang w:val="en-AU" w:eastAsia="en-AU"/>
            </w:rPr>
          </w:pPr>
          <w:hyperlink w:anchor="_Toc57368578" w:history="1">
            <w:r w:rsidRPr="0092569F">
              <w:rPr>
                <w:rStyle w:val="Hyperlink"/>
                <w:noProof/>
              </w:rPr>
              <w:t>Why does reproductive coercion matter?</w:t>
            </w:r>
            <w:r>
              <w:rPr>
                <w:noProof/>
                <w:webHidden/>
              </w:rPr>
              <w:tab/>
            </w:r>
            <w:r>
              <w:rPr>
                <w:noProof/>
                <w:webHidden/>
              </w:rPr>
              <w:fldChar w:fldCharType="begin"/>
            </w:r>
            <w:r>
              <w:rPr>
                <w:noProof/>
                <w:webHidden/>
              </w:rPr>
              <w:instrText xml:space="preserve"> PAGEREF _Toc57368578 \h </w:instrText>
            </w:r>
            <w:r>
              <w:rPr>
                <w:noProof/>
                <w:webHidden/>
              </w:rPr>
            </w:r>
            <w:r>
              <w:rPr>
                <w:noProof/>
                <w:webHidden/>
              </w:rPr>
              <w:fldChar w:fldCharType="separate"/>
            </w:r>
            <w:r>
              <w:rPr>
                <w:noProof/>
                <w:webHidden/>
              </w:rPr>
              <w:t>10</w:t>
            </w:r>
            <w:r>
              <w:rPr>
                <w:noProof/>
                <w:webHidden/>
              </w:rPr>
              <w:fldChar w:fldCharType="end"/>
            </w:r>
          </w:hyperlink>
        </w:p>
        <w:p w14:paraId="3DE24D30" w14:textId="1923CB3C" w:rsidR="00747E1A" w:rsidRDefault="00747E1A">
          <w:pPr>
            <w:pStyle w:val="TOC2"/>
            <w:tabs>
              <w:tab w:val="right" w:leader="dot" w:pos="9060"/>
            </w:tabs>
            <w:rPr>
              <w:rFonts w:asciiTheme="minorHAnsi" w:eastAsiaTheme="minorEastAsia" w:hAnsiTheme="minorHAnsi"/>
              <w:noProof/>
              <w:sz w:val="22"/>
              <w:lang w:val="en-AU" w:eastAsia="en-AU"/>
            </w:rPr>
          </w:pPr>
          <w:hyperlink w:anchor="_Toc57368579" w:history="1">
            <w:r w:rsidRPr="0092569F">
              <w:rPr>
                <w:rStyle w:val="Hyperlink"/>
                <w:noProof/>
              </w:rPr>
              <w:t>About this document</w:t>
            </w:r>
            <w:r>
              <w:rPr>
                <w:noProof/>
                <w:webHidden/>
              </w:rPr>
              <w:tab/>
            </w:r>
            <w:r>
              <w:rPr>
                <w:noProof/>
                <w:webHidden/>
              </w:rPr>
              <w:fldChar w:fldCharType="begin"/>
            </w:r>
            <w:r>
              <w:rPr>
                <w:noProof/>
                <w:webHidden/>
              </w:rPr>
              <w:instrText xml:space="preserve"> PAGEREF _Toc57368579 \h </w:instrText>
            </w:r>
            <w:r>
              <w:rPr>
                <w:noProof/>
                <w:webHidden/>
              </w:rPr>
            </w:r>
            <w:r>
              <w:rPr>
                <w:noProof/>
                <w:webHidden/>
              </w:rPr>
              <w:fldChar w:fldCharType="separate"/>
            </w:r>
            <w:r>
              <w:rPr>
                <w:noProof/>
                <w:webHidden/>
              </w:rPr>
              <w:t>11</w:t>
            </w:r>
            <w:r>
              <w:rPr>
                <w:noProof/>
                <w:webHidden/>
              </w:rPr>
              <w:fldChar w:fldCharType="end"/>
            </w:r>
          </w:hyperlink>
        </w:p>
        <w:p w14:paraId="2DB80567" w14:textId="31C16FDC"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0" w:history="1">
            <w:r w:rsidRPr="0092569F">
              <w:rPr>
                <w:rStyle w:val="Hyperlink"/>
                <w:noProof/>
              </w:rPr>
              <w:t>The language of gender</w:t>
            </w:r>
            <w:r>
              <w:rPr>
                <w:noProof/>
                <w:webHidden/>
              </w:rPr>
              <w:tab/>
            </w:r>
            <w:r>
              <w:rPr>
                <w:noProof/>
                <w:webHidden/>
              </w:rPr>
              <w:fldChar w:fldCharType="begin"/>
            </w:r>
            <w:r>
              <w:rPr>
                <w:noProof/>
                <w:webHidden/>
              </w:rPr>
              <w:instrText xml:space="preserve"> PAGEREF _Toc57368580 \h </w:instrText>
            </w:r>
            <w:r>
              <w:rPr>
                <w:noProof/>
                <w:webHidden/>
              </w:rPr>
            </w:r>
            <w:r>
              <w:rPr>
                <w:noProof/>
                <w:webHidden/>
              </w:rPr>
              <w:fldChar w:fldCharType="separate"/>
            </w:r>
            <w:r>
              <w:rPr>
                <w:noProof/>
                <w:webHidden/>
              </w:rPr>
              <w:t>11</w:t>
            </w:r>
            <w:r>
              <w:rPr>
                <w:noProof/>
                <w:webHidden/>
              </w:rPr>
              <w:fldChar w:fldCharType="end"/>
            </w:r>
          </w:hyperlink>
        </w:p>
        <w:p w14:paraId="07B40787" w14:textId="1DBD0089"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1" w:history="1">
            <w:r w:rsidRPr="0092569F">
              <w:rPr>
                <w:rStyle w:val="Hyperlink"/>
                <w:noProof/>
              </w:rPr>
              <w:t>Terms of reference</w:t>
            </w:r>
            <w:r>
              <w:rPr>
                <w:noProof/>
                <w:webHidden/>
              </w:rPr>
              <w:tab/>
            </w:r>
            <w:r>
              <w:rPr>
                <w:noProof/>
                <w:webHidden/>
              </w:rPr>
              <w:fldChar w:fldCharType="begin"/>
            </w:r>
            <w:r>
              <w:rPr>
                <w:noProof/>
                <w:webHidden/>
              </w:rPr>
              <w:instrText xml:space="preserve"> PAGEREF _Toc57368581 \h </w:instrText>
            </w:r>
            <w:r>
              <w:rPr>
                <w:noProof/>
                <w:webHidden/>
              </w:rPr>
            </w:r>
            <w:r>
              <w:rPr>
                <w:noProof/>
                <w:webHidden/>
              </w:rPr>
              <w:fldChar w:fldCharType="separate"/>
            </w:r>
            <w:r>
              <w:rPr>
                <w:noProof/>
                <w:webHidden/>
              </w:rPr>
              <w:t>11</w:t>
            </w:r>
            <w:r>
              <w:rPr>
                <w:noProof/>
                <w:webHidden/>
              </w:rPr>
              <w:fldChar w:fldCharType="end"/>
            </w:r>
          </w:hyperlink>
        </w:p>
        <w:p w14:paraId="209187FB" w14:textId="49C2AD71"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2" w:history="1">
            <w:r w:rsidRPr="0092569F">
              <w:rPr>
                <w:rStyle w:val="Hyperlink"/>
                <w:noProof/>
              </w:rPr>
              <w:t>Consultation</w:t>
            </w:r>
            <w:r>
              <w:rPr>
                <w:noProof/>
                <w:webHidden/>
              </w:rPr>
              <w:tab/>
            </w:r>
            <w:r>
              <w:rPr>
                <w:noProof/>
                <w:webHidden/>
              </w:rPr>
              <w:fldChar w:fldCharType="begin"/>
            </w:r>
            <w:r>
              <w:rPr>
                <w:noProof/>
                <w:webHidden/>
              </w:rPr>
              <w:instrText xml:space="preserve"> PAGEREF _Toc57368582 \h </w:instrText>
            </w:r>
            <w:r>
              <w:rPr>
                <w:noProof/>
                <w:webHidden/>
              </w:rPr>
            </w:r>
            <w:r>
              <w:rPr>
                <w:noProof/>
                <w:webHidden/>
              </w:rPr>
              <w:fldChar w:fldCharType="separate"/>
            </w:r>
            <w:r>
              <w:rPr>
                <w:noProof/>
                <w:webHidden/>
              </w:rPr>
              <w:t>12</w:t>
            </w:r>
            <w:r>
              <w:rPr>
                <w:noProof/>
                <w:webHidden/>
              </w:rPr>
              <w:fldChar w:fldCharType="end"/>
            </w:r>
          </w:hyperlink>
        </w:p>
        <w:p w14:paraId="0A1A7C08" w14:textId="3817839B"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3" w:history="1">
            <w:r w:rsidRPr="0092569F">
              <w:rPr>
                <w:rStyle w:val="Hyperlink"/>
                <w:noProof/>
              </w:rPr>
              <w:t>Themes and issues</w:t>
            </w:r>
            <w:r>
              <w:rPr>
                <w:noProof/>
                <w:webHidden/>
              </w:rPr>
              <w:tab/>
            </w:r>
            <w:r>
              <w:rPr>
                <w:noProof/>
                <w:webHidden/>
              </w:rPr>
              <w:fldChar w:fldCharType="begin"/>
            </w:r>
            <w:r>
              <w:rPr>
                <w:noProof/>
                <w:webHidden/>
              </w:rPr>
              <w:instrText xml:space="preserve"> PAGEREF _Toc57368583 \h </w:instrText>
            </w:r>
            <w:r>
              <w:rPr>
                <w:noProof/>
                <w:webHidden/>
              </w:rPr>
            </w:r>
            <w:r>
              <w:rPr>
                <w:noProof/>
                <w:webHidden/>
              </w:rPr>
              <w:fldChar w:fldCharType="separate"/>
            </w:r>
            <w:r>
              <w:rPr>
                <w:noProof/>
                <w:webHidden/>
              </w:rPr>
              <w:t>12</w:t>
            </w:r>
            <w:r>
              <w:rPr>
                <w:noProof/>
                <w:webHidden/>
              </w:rPr>
              <w:fldChar w:fldCharType="end"/>
            </w:r>
          </w:hyperlink>
        </w:p>
        <w:p w14:paraId="3514FC33" w14:textId="7696D8EE"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4" w:history="1">
            <w:r w:rsidRPr="0092569F">
              <w:rPr>
                <w:rStyle w:val="Hyperlink"/>
                <w:noProof/>
              </w:rPr>
              <w:t>Health sector recommendations and progress</w:t>
            </w:r>
            <w:r>
              <w:rPr>
                <w:noProof/>
                <w:webHidden/>
              </w:rPr>
              <w:tab/>
            </w:r>
            <w:r>
              <w:rPr>
                <w:noProof/>
                <w:webHidden/>
              </w:rPr>
              <w:fldChar w:fldCharType="begin"/>
            </w:r>
            <w:r>
              <w:rPr>
                <w:noProof/>
                <w:webHidden/>
              </w:rPr>
              <w:instrText xml:space="preserve"> PAGEREF _Toc57368584 \h </w:instrText>
            </w:r>
            <w:r>
              <w:rPr>
                <w:noProof/>
                <w:webHidden/>
              </w:rPr>
            </w:r>
            <w:r>
              <w:rPr>
                <w:noProof/>
                <w:webHidden/>
              </w:rPr>
              <w:fldChar w:fldCharType="separate"/>
            </w:r>
            <w:r>
              <w:rPr>
                <w:noProof/>
                <w:webHidden/>
              </w:rPr>
              <w:t>12</w:t>
            </w:r>
            <w:r>
              <w:rPr>
                <w:noProof/>
                <w:webHidden/>
              </w:rPr>
              <w:fldChar w:fldCharType="end"/>
            </w:r>
          </w:hyperlink>
        </w:p>
        <w:p w14:paraId="011BFA56" w14:textId="2763EFFB"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5" w:history="1">
            <w:r w:rsidRPr="0092569F">
              <w:rPr>
                <w:rStyle w:val="Hyperlink"/>
                <w:noProof/>
              </w:rPr>
              <w:t>Marie Stopes Australia commitments and progress.</w:t>
            </w:r>
            <w:r>
              <w:rPr>
                <w:noProof/>
                <w:webHidden/>
              </w:rPr>
              <w:tab/>
            </w:r>
            <w:r>
              <w:rPr>
                <w:noProof/>
                <w:webHidden/>
              </w:rPr>
              <w:fldChar w:fldCharType="begin"/>
            </w:r>
            <w:r>
              <w:rPr>
                <w:noProof/>
                <w:webHidden/>
              </w:rPr>
              <w:instrText xml:space="preserve"> PAGEREF _Toc57368585 \h </w:instrText>
            </w:r>
            <w:r>
              <w:rPr>
                <w:noProof/>
                <w:webHidden/>
              </w:rPr>
            </w:r>
            <w:r>
              <w:rPr>
                <w:noProof/>
                <w:webHidden/>
              </w:rPr>
              <w:fldChar w:fldCharType="separate"/>
            </w:r>
            <w:r>
              <w:rPr>
                <w:noProof/>
                <w:webHidden/>
              </w:rPr>
              <w:t>14</w:t>
            </w:r>
            <w:r>
              <w:rPr>
                <w:noProof/>
                <w:webHidden/>
              </w:rPr>
              <w:fldChar w:fldCharType="end"/>
            </w:r>
          </w:hyperlink>
        </w:p>
        <w:p w14:paraId="295F657F" w14:textId="7B14A087" w:rsidR="00747E1A" w:rsidRDefault="00747E1A">
          <w:pPr>
            <w:pStyle w:val="TOC1"/>
            <w:rPr>
              <w:rFonts w:asciiTheme="minorHAnsi" w:eastAsiaTheme="minorEastAsia" w:hAnsiTheme="minorHAnsi"/>
              <w:b w:val="0"/>
              <w:sz w:val="22"/>
              <w:lang w:eastAsia="en-AU"/>
            </w:rPr>
          </w:pPr>
          <w:hyperlink w:anchor="_Toc57368586" w:history="1">
            <w:r w:rsidRPr="0092569F">
              <w:rPr>
                <w:rStyle w:val="Hyperlink"/>
              </w:rPr>
              <w:t>4. Background</w:t>
            </w:r>
            <w:r>
              <w:rPr>
                <w:webHidden/>
              </w:rPr>
              <w:tab/>
            </w:r>
            <w:r>
              <w:rPr>
                <w:webHidden/>
              </w:rPr>
              <w:fldChar w:fldCharType="begin"/>
            </w:r>
            <w:r>
              <w:rPr>
                <w:webHidden/>
              </w:rPr>
              <w:instrText xml:space="preserve"> PAGEREF _Toc57368586 \h </w:instrText>
            </w:r>
            <w:r>
              <w:rPr>
                <w:webHidden/>
              </w:rPr>
            </w:r>
            <w:r>
              <w:rPr>
                <w:webHidden/>
              </w:rPr>
              <w:fldChar w:fldCharType="separate"/>
            </w:r>
            <w:r>
              <w:rPr>
                <w:webHidden/>
              </w:rPr>
              <w:t>15</w:t>
            </w:r>
            <w:r>
              <w:rPr>
                <w:webHidden/>
              </w:rPr>
              <w:fldChar w:fldCharType="end"/>
            </w:r>
          </w:hyperlink>
        </w:p>
        <w:p w14:paraId="4BC59214" w14:textId="5F10567F"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7" w:history="1">
            <w:r w:rsidRPr="0092569F">
              <w:rPr>
                <w:rStyle w:val="Hyperlink"/>
                <w:noProof/>
              </w:rPr>
              <w:t>History of reproductive coercion</w:t>
            </w:r>
            <w:r>
              <w:rPr>
                <w:noProof/>
                <w:webHidden/>
              </w:rPr>
              <w:tab/>
            </w:r>
            <w:r>
              <w:rPr>
                <w:noProof/>
                <w:webHidden/>
              </w:rPr>
              <w:fldChar w:fldCharType="begin"/>
            </w:r>
            <w:r>
              <w:rPr>
                <w:noProof/>
                <w:webHidden/>
              </w:rPr>
              <w:instrText xml:space="preserve"> PAGEREF _Toc57368587 \h </w:instrText>
            </w:r>
            <w:r>
              <w:rPr>
                <w:noProof/>
                <w:webHidden/>
              </w:rPr>
            </w:r>
            <w:r>
              <w:rPr>
                <w:noProof/>
                <w:webHidden/>
              </w:rPr>
              <w:fldChar w:fldCharType="separate"/>
            </w:r>
            <w:r>
              <w:rPr>
                <w:noProof/>
                <w:webHidden/>
              </w:rPr>
              <w:t>15</w:t>
            </w:r>
            <w:r>
              <w:rPr>
                <w:noProof/>
                <w:webHidden/>
              </w:rPr>
              <w:fldChar w:fldCharType="end"/>
            </w:r>
          </w:hyperlink>
        </w:p>
        <w:p w14:paraId="7581DF8B" w14:textId="6514DB67"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8" w:history="1">
            <w:r w:rsidRPr="0092569F">
              <w:rPr>
                <w:rStyle w:val="Hyperlink"/>
                <w:noProof/>
              </w:rPr>
              <w:t>What is reproductive coercion?</w:t>
            </w:r>
            <w:r>
              <w:rPr>
                <w:noProof/>
                <w:webHidden/>
              </w:rPr>
              <w:tab/>
            </w:r>
            <w:r>
              <w:rPr>
                <w:noProof/>
                <w:webHidden/>
              </w:rPr>
              <w:fldChar w:fldCharType="begin"/>
            </w:r>
            <w:r>
              <w:rPr>
                <w:noProof/>
                <w:webHidden/>
              </w:rPr>
              <w:instrText xml:space="preserve"> PAGEREF _Toc57368588 \h </w:instrText>
            </w:r>
            <w:r>
              <w:rPr>
                <w:noProof/>
                <w:webHidden/>
              </w:rPr>
            </w:r>
            <w:r>
              <w:rPr>
                <w:noProof/>
                <w:webHidden/>
              </w:rPr>
              <w:fldChar w:fldCharType="separate"/>
            </w:r>
            <w:r>
              <w:rPr>
                <w:noProof/>
                <w:webHidden/>
              </w:rPr>
              <w:t>15</w:t>
            </w:r>
            <w:r>
              <w:rPr>
                <w:noProof/>
                <w:webHidden/>
              </w:rPr>
              <w:fldChar w:fldCharType="end"/>
            </w:r>
          </w:hyperlink>
        </w:p>
        <w:p w14:paraId="1269CA97" w14:textId="6F9F26EB" w:rsidR="00747E1A" w:rsidRDefault="00747E1A">
          <w:pPr>
            <w:pStyle w:val="TOC2"/>
            <w:tabs>
              <w:tab w:val="right" w:leader="dot" w:pos="9060"/>
            </w:tabs>
            <w:rPr>
              <w:rFonts w:asciiTheme="minorHAnsi" w:eastAsiaTheme="minorEastAsia" w:hAnsiTheme="minorHAnsi"/>
              <w:noProof/>
              <w:sz w:val="22"/>
              <w:lang w:val="en-AU" w:eastAsia="en-AU"/>
            </w:rPr>
          </w:pPr>
          <w:hyperlink w:anchor="_Toc57368589" w:history="1">
            <w:r w:rsidRPr="0092569F">
              <w:rPr>
                <w:rStyle w:val="Hyperlink"/>
                <w:noProof/>
              </w:rPr>
              <w:t>Violence against women</w:t>
            </w:r>
            <w:r>
              <w:rPr>
                <w:noProof/>
                <w:webHidden/>
              </w:rPr>
              <w:tab/>
            </w:r>
            <w:r>
              <w:rPr>
                <w:noProof/>
                <w:webHidden/>
              </w:rPr>
              <w:fldChar w:fldCharType="begin"/>
            </w:r>
            <w:r>
              <w:rPr>
                <w:noProof/>
                <w:webHidden/>
              </w:rPr>
              <w:instrText xml:space="preserve"> PAGEREF _Toc57368589 \h </w:instrText>
            </w:r>
            <w:r>
              <w:rPr>
                <w:noProof/>
                <w:webHidden/>
              </w:rPr>
            </w:r>
            <w:r>
              <w:rPr>
                <w:noProof/>
                <w:webHidden/>
              </w:rPr>
              <w:fldChar w:fldCharType="separate"/>
            </w:r>
            <w:r>
              <w:rPr>
                <w:noProof/>
                <w:webHidden/>
              </w:rPr>
              <w:t>16</w:t>
            </w:r>
            <w:r>
              <w:rPr>
                <w:noProof/>
                <w:webHidden/>
              </w:rPr>
              <w:fldChar w:fldCharType="end"/>
            </w:r>
          </w:hyperlink>
        </w:p>
        <w:p w14:paraId="7F8DB654" w14:textId="7D6128D8" w:rsidR="00747E1A" w:rsidRDefault="00747E1A">
          <w:pPr>
            <w:pStyle w:val="TOC2"/>
            <w:tabs>
              <w:tab w:val="right" w:leader="dot" w:pos="9060"/>
            </w:tabs>
            <w:rPr>
              <w:rFonts w:asciiTheme="minorHAnsi" w:eastAsiaTheme="minorEastAsia" w:hAnsiTheme="minorHAnsi"/>
              <w:noProof/>
              <w:sz w:val="22"/>
              <w:lang w:val="en-AU" w:eastAsia="en-AU"/>
            </w:rPr>
          </w:pPr>
          <w:hyperlink w:anchor="_Toc57368590" w:history="1">
            <w:r w:rsidRPr="0092569F">
              <w:rPr>
                <w:rStyle w:val="Hyperlink"/>
                <w:noProof/>
              </w:rPr>
              <w:t>Why does reproductive coercion matter?</w:t>
            </w:r>
            <w:r>
              <w:rPr>
                <w:noProof/>
                <w:webHidden/>
              </w:rPr>
              <w:tab/>
            </w:r>
            <w:r>
              <w:rPr>
                <w:noProof/>
                <w:webHidden/>
              </w:rPr>
              <w:fldChar w:fldCharType="begin"/>
            </w:r>
            <w:r>
              <w:rPr>
                <w:noProof/>
                <w:webHidden/>
              </w:rPr>
              <w:instrText xml:space="preserve"> PAGEREF _Toc57368590 \h </w:instrText>
            </w:r>
            <w:r>
              <w:rPr>
                <w:noProof/>
                <w:webHidden/>
              </w:rPr>
            </w:r>
            <w:r>
              <w:rPr>
                <w:noProof/>
                <w:webHidden/>
              </w:rPr>
              <w:fldChar w:fldCharType="separate"/>
            </w:r>
            <w:r>
              <w:rPr>
                <w:noProof/>
                <w:webHidden/>
              </w:rPr>
              <w:t>16</w:t>
            </w:r>
            <w:r>
              <w:rPr>
                <w:noProof/>
                <w:webHidden/>
              </w:rPr>
              <w:fldChar w:fldCharType="end"/>
            </w:r>
          </w:hyperlink>
        </w:p>
        <w:p w14:paraId="7A98AC8C" w14:textId="760C1353" w:rsidR="00747E1A" w:rsidRDefault="00747E1A">
          <w:pPr>
            <w:pStyle w:val="TOC2"/>
            <w:tabs>
              <w:tab w:val="right" w:leader="dot" w:pos="9060"/>
            </w:tabs>
            <w:rPr>
              <w:rFonts w:asciiTheme="minorHAnsi" w:eastAsiaTheme="minorEastAsia" w:hAnsiTheme="minorHAnsi"/>
              <w:noProof/>
              <w:sz w:val="22"/>
              <w:lang w:val="en-AU" w:eastAsia="en-AU"/>
            </w:rPr>
          </w:pPr>
          <w:hyperlink w:anchor="_Toc57368591" w:history="1">
            <w:r w:rsidRPr="0092569F">
              <w:rPr>
                <w:rStyle w:val="Hyperlink"/>
                <w:noProof/>
              </w:rPr>
              <w:t>Background to this white paper</w:t>
            </w:r>
            <w:r>
              <w:rPr>
                <w:noProof/>
                <w:webHidden/>
              </w:rPr>
              <w:tab/>
            </w:r>
            <w:r>
              <w:rPr>
                <w:noProof/>
                <w:webHidden/>
              </w:rPr>
              <w:fldChar w:fldCharType="begin"/>
            </w:r>
            <w:r>
              <w:rPr>
                <w:noProof/>
                <w:webHidden/>
              </w:rPr>
              <w:instrText xml:space="preserve"> PAGEREF _Toc57368591 \h </w:instrText>
            </w:r>
            <w:r>
              <w:rPr>
                <w:noProof/>
                <w:webHidden/>
              </w:rPr>
            </w:r>
            <w:r>
              <w:rPr>
                <w:noProof/>
                <w:webHidden/>
              </w:rPr>
              <w:fldChar w:fldCharType="separate"/>
            </w:r>
            <w:r>
              <w:rPr>
                <w:noProof/>
                <w:webHidden/>
              </w:rPr>
              <w:t>17</w:t>
            </w:r>
            <w:r>
              <w:rPr>
                <w:noProof/>
                <w:webHidden/>
              </w:rPr>
              <w:fldChar w:fldCharType="end"/>
            </w:r>
          </w:hyperlink>
        </w:p>
        <w:p w14:paraId="4E2076C3" w14:textId="3D2446AA" w:rsidR="00747E1A" w:rsidRDefault="00747E1A">
          <w:pPr>
            <w:pStyle w:val="TOC1"/>
            <w:rPr>
              <w:rFonts w:asciiTheme="minorHAnsi" w:eastAsiaTheme="minorEastAsia" w:hAnsiTheme="minorHAnsi"/>
              <w:b w:val="0"/>
              <w:sz w:val="22"/>
              <w:lang w:eastAsia="en-AU"/>
            </w:rPr>
          </w:pPr>
          <w:hyperlink w:anchor="_Toc57368592" w:history="1">
            <w:r w:rsidRPr="0092569F">
              <w:rPr>
                <w:rStyle w:val="Hyperlink"/>
              </w:rPr>
              <w:t>5. Purpose and scope</w:t>
            </w:r>
            <w:r>
              <w:rPr>
                <w:webHidden/>
              </w:rPr>
              <w:tab/>
            </w:r>
            <w:r>
              <w:rPr>
                <w:webHidden/>
              </w:rPr>
              <w:fldChar w:fldCharType="begin"/>
            </w:r>
            <w:r>
              <w:rPr>
                <w:webHidden/>
              </w:rPr>
              <w:instrText xml:space="preserve"> PAGEREF _Toc57368592 \h </w:instrText>
            </w:r>
            <w:r>
              <w:rPr>
                <w:webHidden/>
              </w:rPr>
            </w:r>
            <w:r>
              <w:rPr>
                <w:webHidden/>
              </w:rPr>
              <w:fldChar w:fldCharType="separate"/>
            </w:r>
            <w:r>
              <w:rPr>
                <w:webHidden/>
              </w:rPr>
              <w:t>19</w:t>
            </w:r>
            <w:r>
              <w:rPr>
                <w:webHidden/>
              </w:rPr>
              <w:fldChar w:fldCharType="end"/>
            </w:r>
          </w:hyperlink>
        </w:p>
        <w:p w14:paraId="4E78F313" w14:textId="4D156201" w:rsidR="00747E1A" w:rsidRDefault="00747E1A">
          <w:pPr>
            <w:pStyle w:val="TOC2"/>
            <w:tabs>
              <w:tab w:val="right" w:leader="dot" w:pos="9060"/>
            </w:tabs>
            <w:rPr>
              <w:rFonts w:asciiTheme="minorHAnsi" w:eastAsiaTheme="minorEastAsia" w:hAnsiTheme="minorHAnsi"/>
              <w:noProof/>
              <w:sz w:val="22"/>
              <w:lang w:val="en-AU" w:eastAsia="en-AU"/>
            </w:rPr>
          </w:pPr>
          <w:hyperlink w:anchor="_Toc57368593" w:history="1">
            <w:r w:rsidRPr="0092569F">
              <w:rPr>
                <w:rStyle w:val="Hyperlink"/>
                <w:noProof/>
              </w:rPr>
              <w:t>Aims</w:t>
            </w:r>
            <w:r>
              <w:rPr>
                <w:noProof/>
                <w:webHidden/>
              </w:rPr>
              <w:tab/>
            </w:r>
            <w:r>
              <w:rPr>
                <w:noProof/>
                <w:webHidden/>
              </w:rPr>
              <w:fldChar w:fldCharType="begin"/>
            </w:r>
            <w:r>
              <w:rPr>
                <w:noProof/>
                <w:webHidden/>
              </w:rPr>
              <w:instrText xml:space="preserve"> PAGEREF _Toc57368593 \h </w:instrText>
            </w:r>
            <w:r>
              <w:rPr>
                <w:noProof/>
                <w:webHidden/>
              </w:rPr>
            </w:r>
            <w:r>
              <w:rPr>
                <w:noProof/>
                <w:webHidden/>
              </w:rPr>
              <w:fldChar w:fldCharType="separate"/>
            </w:r>
            <w:r>
              <w:rPr>
                <w:noProof/>
                <w:webHidden/>
              </w:rPr>
              <w:t>19</w:t>
            </w:r>
            <w:r>
              <w:rPr>
                <w:noProof/>
                <w:webHidden/>
              </w:rPr>
              <w:fldChar w:fldCharType="end"/>
            </w:r>
          </w:hyperlink>
        </w:p>
        <w:p w14:paraId="111210BF" w14:textId="09A9F744" w:rsidR="00747E1A" w:rsidRDefault="00747E1A">
          <w:pPr>
            <w:pStyle w:val="TOC2"/>
            <w:tabs>
              <w:tab w:val="right" w:leader="dot" w:pos="9060"/>
            </w:tabs>
            <w:rPr>
              <w:rFonts w:asciiTheme="minorHAnsi" w:eastAsiaTheme="minorEastAsia" w:hAnsiTheme="minorHAnsi"/>
              <w:noProof/>
              <w:sz w:val="22"/>
              <w:lang w:val="en-AU" w:eastAsia="en-AU"/>
            </w:rPr>
          </w:pPr>
          <w:hyperlink w:anchor="_Toc57368594" w:history="1">
            <w:r w:rsidRPr="0092569F">
              <w:rPr>
                <w:rStyle w:val="Hyperlink"/>
                <w:noProof/>
              </w:rPr>
              <w:t>Terms of reference</w:t>
            </w:r>
            <w:r>
              <w:rPr>
                <w:noProof/>
                <w:webHidden/>
              </w:rPr>
              <w:tab/>
            </w:r>
            <w:r>
              <w:rPr>
                <w:noProof/>
                <w:webHidden/>
              </w:rPr>
              <w:fldChar w:fldCharType="begin"/>
            </w:r>
            <w:r>
              <w:rPr>
                <w:noProof/>
                <w:webHidden/>
              </w:rPr>
              <w:instrText xml:space="preserve"> PAGEREF _Toc57368594 \h </w:instrText>
            </w:r>
            <w:r>
              <w:rPr>
                <w:noProof/>
                <w:webHidden/>
              </w:rPr>
            </w:r>
            <w:r>
              <w:rPr>
                <w:noProof/>
                <w:webHidden/>
              </w:rPr>
              <w:fldChar w:fldCharType="separate"/>
            </w:r>
            <w:r>
              <w:rPr>
                <w:noProof/>
                <w:webHidden/>
              </w:rPr>
              <w:t>19</w:t>
            </w:r>
            <w:r>
              <w:rPr>
                <w:noProof/>
                <w:webHidden/>
              </w:rPr>
              <w:fldChar w:fldCharType="end"/>
            </w:r>
          </w:hyperlink>
        </w:p>
        <w:p w14:paraId="7D1937FD" w14:textId="0FBF4266" w:rsidR="00747E1A" w:rsidRDefault="00747E1A">
          <w:pPr>
            <w:pStyle w:val="TOC1"/>
            <w:rPr>
              <w:rFonts w:asciiTheme="minorHAnsi" w:eastAsiaTheme="minorEastAsia" w:hAnsiTheme="minorHAnsi"/>
              <w:b w:val="0"/>
              <w:sz w:val="22"/>
              <w:lang w:eastAsia="en-AU"/>
            </w:rPr>
          </w:pPr>
          <w:hyperlink w:anchor="_Toc57368595" w:history="1">
            <w:r w:rsidRPr="0092569F">
              <w:rPr>
                <w:rStyle w:val="Hyperlink"/>
              </w:rPr>
              <w:t xml:space="preserve">6. Approach to developing </w:t>
            </w:r>
            <w:r w:rsidRPr="0092569F">
              <w:rPr>
                <w:rStyle w:val="Hyperlink"/>
                <w:i/>
                <w:iCs/>
              </w:rPr>
              <w:t>Hidden Forces</w:t>
            </w:r>
            <w:r>
              <w:rPr>
                <w:webHidden/>
              </w:rPr>
              <w:tab/>
            </w:r>
            <w:r>
              <w:rPr>
                <w:webHidden/>
              </w:rPr>
              <w:fldChar w:fldCharType="begin"/>
            </w:r>
            <w:r>
              <w:rPr>
                <w:webHidden/>
              </w:rPr>
              <w:instrText xml:space="preserve"> PAGEREF _Toc57368595 \h </w:instrText>
            </w:r>
            <w:r>
              <w:rPr>
                <w:webHidden/>
              </w:rPr>
            </w:r>
            <w:r>
              <w:rPr>
                <w:webHidden/>
              </w:rPr>
              <w:fldChar w:fldCharType="separate"/>
            </w:r>
            <w:r>
              <w:rPr>
                <w:webHidden/>
              </w:rPr>
              <w:t>20</w:t>
            </w:r>
            <w:r>
              <w:rPr>
                <w:webHidden/>
              </w:rPr>
              <w:fldChar w:fldCharType="end"/>
            </w:r>
          </w:hyperlink>
        </w:p>
        <w:p w14:paraId="4B85E57D" w14:textId="1442D5D4" w:rsidR="00747E1A" w:rsidRDefault="00747E1A">
          <w:pPr>
            <w:pStyle w:val="TOC2"/>
            <w:tabs>
              <w:tab w:val="right" w:leader="dot" w:pos="9060"/>
            </w:tabs>
            <w:rPr>
              <w:rFonts w:asciiTheme="minorHAnsi" w:eastAsiaTheme="minorEastAsia" w:hAnsiTheme="minorHAnsi"/>
              <w:noProof/>
              <w:sz w:val="22"/>
              <w:lang w:val="en-AU" w:eastAsia="en-AU"/>
            </w:rPr>
          </w:pPr>
          <w:hyperlink w:anchor="_Toc57368596" w:history="1">
            <w:r w:rsidRPr="0092569F">
              <w:rPr>
                <w:rStyle w:val="Hyperlink"/>
                <w:noProof/>
              </w:rPr>
              <w:t>Guiding principles</w:t>
            </w:r>
            <w:r>
              <w:rPr>
                <w:noProof/>
                <w:webHidden/>
              </w:rPr>
              <w:tab/>
            </w:r>
            <w:r>
              <w:rPr>
                <w:noProof/>
                <w:webHidden/>
              </w:rPr>
              <w:fldChar w:fldCharType="begin"/>
            </w:r>
            <w:r>
              <w:rPr>
                <w:noProof/>
                <w:webHidden/>
              </w:rPr>
              <w:instrText xml:space="preserve"> PAGEREF _Toc57368596 \h </w:instrText>
            </w:r>
            <w:r>
              <w:rPr>
                <w:noProof/>
                <w:webHidden/>
              </w:rPr>
            </w:r>
            <w:r>
              <w:rPr>
                <w:noProof/>
                <w:webHidden/>
              </w:rPr>
              <w:fldChar w:fldCharType="separate"/>
            </w:r>
            <w:r>
              <w:rPr>
                <w:noProof/>
                <w:webHidden/>
              </w:rPr>
              <w:t>20</w:t>
            </w:r>
            <w:r>
              <w:rPr>
                <w:noProof/>
                <w:webHidden/>
              </w:rPr>
              <w:fldChar w:fldCharType="end"/>
            </w:r>
          </w:hyperlink>
        </w:p>
        <w:p w14:paraId="6AC1BA8F" w14:textId="03ECAD7B" w:rsidR="00747E1A" w:rsidRDefault="00747E1A">
          <w:pPr>
            <w:pStyle w:val="TOC2"/>
            <w:tabs>
              <w:tab w:val="right" w:leader="dot" w:pos="9060"/>
            </w:tabs>
            <w:rPr>
              <w:rFonts w:asciiTheme="minorHAnsi" w:eastAsiaTheme="minorEastAsia" w:hAnsiTheme="minorHAnsi"/>
              <w:noProof/>
              <w:sz w:val="22"/>
              <w:lang w:val="en-AU" w:eastAsia="en-AU"/>
            </w:rPr>
          </w:pPr>
          <w:hyperlink w:anchor="_Toc57368597" w:history="1">
            <w:r w:rsidRPr="0092569F">
              <w:rPr>
                <w:rStyle w:val="Hyperlink"/>
                <w:noProof/>
              </w:rPr>
              <w:t>White paper consultation</w:t>
            </w:r>
            <w:r>
              <w:rPr>
                <w:noProof/>
                <w:webHidden/>
              </w:rPr>
              <w:tab/>
            </w:r>
            <w:r>
              <w:rPr>
                <w:noProof/>
                <w:webHidden/>
              </w:rPr>
              <w:fldChar w:fldCharType="begin"/>
            </w:r>
            <w:r>
              <w:rPr>
                <w:noProof/>
                <w:webHidden/>
              </w:rPr>
              <w:instrText xml:space="preserve"> PAGEREF _Toc57368597 \h </w:instrText>
            </w:r>
            <w:r>
              <w:rPr>
                <w:noProof/>
                <w:webHidden/>
              </w:rPr>
            </w:r>
            <w:r>
              <w:rPr>
                <w:noProof/>
                <w:webHidden/>
              </w:rPr>
              <w:fldChar w:fldCharType="separate"/>
            </w:r>
            <w:r>
              <w:rPr>
                <w:noProof/>
                <w:webHidden/>
              </w:rPr>
              <w:t>20</w:t>
            </w:r>
            <w:r>
              <w:rPr>
                <w:noProof/>
                <w:webHidden/>
              </w:rPr>
              <w:fldChar w:fldCharType="end"/>
            </w:r>
          </w:hyperlink>
        </w:p>
        <w:p w14:paraId="251EEB19" w14:textId="571143A5" w:rsidR="00747E1A" w:rsidRDefault="00747E1A">
          <w:pPr>
            <w:pStyle w:val="TOC1"/>
            <w:rPr>
              <w:rFonts w:asciiTheme="minorHAnsi" w:eastAsiaTheme="minorEastAsia" w:hAnsiTheme="minorHAnsi"/>
              <w:b w:val="0"/>
              <w:sz w:val="22"/>
              <w:lang w:eastAsia="en-AU"/>
            </w:rPr>
          </w:pPr>
          <w:hyperlink w:anchor="_Toc57368598" w:history="1">
            <w:r w:rsidRPr="0092569F">
              <w:rPr>
                <w:rStyle w:val="Hyperlink"/>
              </w:rPr>
              <w:t>7. Themes and issues</w:t>
            </w:r>
            <w:r>
              <w:rPr>
                <w:webHidden/>
              </w:rPr>
              <w:tab/>
            </w:r>
            <w:r>
              <w:rPr>
                <w:webHidden/>
              </w:rPr>
              <w:fldChar w:fldCharType="begin"/>
            </w:r>
            <w:r>
              <w:rPr>
                <w:webHidden/>
              </w:rPr>
              <w:instrText xml:space="preserve"> PAGEREF _Toc57368598 \h </w:instrText>
            </w:r>
            <w:r>
              <w:rPr>
                <w:webHidden/>
              </w:rPr>
            </w:r>
            <w:r>
              <w:rPr>
                <w:webHidden/>
              </w:rPr>
              <w:fldChar w:fldCharType="separate"/>
            </w:r>
            <w:r>
              <w:rPr>
                <w:webHidden/>
              </w:rPr>
              <w:t>22</w:t>
            </w:r>
            <w:r>
              <w:rPr>
                <w:webHidden/>
              </w:rPr>
              <w:fldChar w:fldCharType="end"/>
            </w:r>
          </w:hyperlink>
        </w:p>
        <w:p w14:paraId="2E2DEE2F" w14:textId="40D25314" w:rsidR="00747E1A" w:rsidRDefault="00747E1A">
          <w:pPr>
            <w:pStyle w:val="TOC2"/>
            <w:tabs>
              <w:tab w:val="right" w:leader="dot" w:pos="9060"/>
            </w:tabs>
            <w:rPr>
              <w:rFonts w:asciiTheme="minorHAnsi" w:eastAsiaTheme="minorEastAsia" w:hAnsiTheme="minorHAnsi"/>
              <w:noProof/>
              <w:sz w:val="22"/>
              <w:lang w:val="en-AU" w:eastAsia="en-AU"/>
            </w:rPr>
          </w:pPr>
          <w:hyperlink w:anchor="_Toc57368599" w:history="1">
            <w:r w:rsidRPr="0092569F">
              <w:rPr>
                <w:rStyle w:val="Hyperlink"/>
                <w:noProof/>
              </w:rPr>
              <w:t>The need for a definition of reproductive coercion</w:t>
            </w:r>
            <w:r>
              <w:rPr>
                <w:noProof/>
                <w:webHidden/>
              </w:rPr>
              <w:tab/>
            </w:r>
            <w:r>
              <w:rPr>
                <w:noProof/>
                <w:webHidden/>
              </w:rPr>
              <w:fldChar w:fldCharType="begin"/>
            </w:r>
            <w:r>
              <w:rPr>
                <w:noProof/>
                <w:webHidden/>
              </w:rPr>
              <w:instrText xml:space="preserve"> PAGEREF _Toc57368599 \h </w:instrText>
            </w:r>
            <w:r>
              <w:rPr>
                <w:noProof/>
                <w:webHidden/>
              </w:rPr>
            </w:r>
            <w:r>
              <w:rPr>
                <w:noProof/>
                <w:webHidden/>
              </w:rPr>
              <w:fldChar w:fldCharType="separate"/>
            </w:r>
            <w:r>
              <w:rPr>
                <w:noProof/>
                <w:webHidden/>
              </w:rPr>
              <w:t>22</w:t>
            </w:r>
            <w:r>
              <w:rPr>
                <w:noProof/>
                <w:webHidden/>
              </w:rPr>
              <w:fldChar w:fldCharType="end"/>
            </w:r>
          </w:hyperlink>
        </w:p>
        <w:p w14:paraId="33173B38" w14:textId="559FD8CA" w:rsidR="00747E1A" w:rsidRDefault="00747E1A">
          <w:pPr>
            <w:pStyle w:val="TOC2"/>
            <w:tabs>
              <w:tab w:val="right" w:leader="dot" w:pos="9060"/>
            </w:tabs>
            <w:rPr>
              <w:rFonts w:asciiTheme="minorHAnsi" w:eastAsiaTheme="minorEastAsia" w:hAnsiTheme="minorHAnsi"/>
              <w:noProof/>
              <w:sz w:val="22"/>
              <w:lang w:val="en-AU" w:eastAsia="en-AU"/>
            </w:rPr>
          </w:pPr>
          <w:hyperlink w:anchor="_Toc57368600" w:history="1">
            <w:r w:rsidRPr="0092569F">
              <w:rPr>
                <w:rStyle w:val="Hyperlink"/>
                <w:noProof/>
              </w:rPr>
              <w:t>A definition</w:t>
            </w:r>
            <w:r>
              <w:rPr>
                <w:noProof/>
                <w:webHidden/>
              </w:rPr>
              <w:tab/>
            </w:r>
            <w:r>
              <w:rPr>
                <w:noProof/>
                <w:webHidden/>
              </w:rPr>
              <w:fldChar w:fldCharType="begin"/>
            </w:r>
            <w:r>
              <w:rPr>
                <w:noProof/>
                <w:webHidden/>
              </w:rPr>
              <w:instrText xml:space="preserve"> PAGEREF _Toc57368600 \h </w:instrText>
            </w:r>
            <w:r>
              <w:rPr>
                <w:noProof/>
                <w:webHidden/>
              </w:rPr>
            </w:r>
            <w:r>
              <w:rPr>
                <w:noProof/>
                <w:webHidden/>
              </w:rPr>
              <w:fldChar w:fldCharType="separate"/>
            </w:r>
            <w:r>
              <w:rPr>
                <w:noProof/>
                <w:webHidden/>
              </w:rPr>
              <w:t>23</w:t>
            </w:r>
            <w:r>
              <w:rPr>
                <w:noProof/>
                <w:webHidden/>
              </w:rPr>
              <w:fldChar w:fldCharType="end"/>
            </w:r>
          </w:hyperlink>
        </w:p>
        <w:p w14:paraId="1D47AB63" w14:textId="0EE962F6" w:rsidR="00747E1A" w:rsidRDefault="00747E1A">
          <w:pPr>
            <w:pStyle w:val="TOC2"/>
            <w:tabs>
              <w:tab w:val="right" w:leader="dot" w:pos="9060"/>
            </w:tabs>
            <w:rPr>
              <w:rFonts w:asciiTheme="minorHAnsi" w:eastAsiaTheme="minorEastAsia" w:hAnsiTheme="minorHAnsi"/>
              <w:noProof/>
              <w:sz w:val="22"/>
              <w:lang w:val="en-AU" w:eastAsia="en-AU"/>
            </w:rPr>
          </w:pPr>
          <w:hyperlink w:anchor="_Toc57368601" w:history="1">
            <w:r w:rsidRPr="0092569F">
              <w:rPr>
                <w:rStyle w:val="Hyperlink"/>
                <w:noProof/>
              </w:rPr>
              <w:t>Contextualising reproductive coercion</w:t>
            </w:r>
            <w:r>
              <w:rPr>
                <w:noProof/>
                <w:webHidden/>
              </w:rPr>
              <w:tab/>
            </w:r>
            <w:r>
              <w:rPr>
                <w:noProof/>
                <w:webHidden/>
              </w:rPr>
              <w:fldChar w:fldCharType="begin"/>
            </w:r>
            <w:r>
              <w:rPr>
                <w:noProof/>
                <w:webHidden/>
              </w:rPr>
              <w:instrText xml:space="preserve"> PAGEREF _Toc57368601 \h </w:instrText>
            </w:r>
            <w:r>
              <w:rPr>
                <w:noProof/>
                <w:webHidden/>
              </w:rPr>
            </w:r>
            <w:r>
              <w:rPr>
                <w:noProof/>
                <w:webHidden/>
              </w:rPr>
              <w:fldChar w:fldCharType="separate"/>
            </w:r>
            <w:r>
              <w:rPr>
                <w:noProof/>
                <w:webHidden/>
              </w:rPr>
              <w:t>25</w:t>
            </w:r>
            <w:r>
              <w:rPr>
                <w:noProof/>
                <w:webHidden/>
              </w:rPr>
              <w:fldChar w:fldCharType="end"/>
            </w:r>
          </w:hyperlink>
        </w:p>
        <w:p w14:paraId="6186B8D9" w14:textId="33399B81" w:rsidR="00747E1A" w:rsidRDefault="00747E1A">
          <w:pPr>
            <w:pStyle w:val="TOC2"/>
            <w:tabs>
              <w:tab w:val="right" w:leader="dot" w:pos="9060"/>
            </w:tabs>
            <w:rPr>
              <w:rFonts w:asciiTheme="minorHAnsi" w:eastAsiaTheme="minorEastAsia" w:hAnsiTheme="minorHAnsi"/>
              <w:noProof/>
              <w:sz w:val="22"/>
              <w:lang w:val="en-AU" w:eastAsia="en-AU"/>
            </w:rPr>
          </w:pPr>
          <w:hyperlink w:anchor="_Toc57368602" w:history="1">
            <w:r w:rsidRPr="0092569F">
              <w:rPr>
                <w:rStyle w:val="Hyperlink"/>
                <w:noProof/>
              </w:rPr>
              <w:t>Reproductive coercion as a public health issue</w:t>
            </w:r>
            <w:r>
              <w:rPr>
                <w:noProof/>
                <w:webHidden/>
              </w:rPr>
              <w:tab/>
            </w:r>
            <w:r>
              <w:rPr>
                <w:noProof/>
                <w:webHidden/>
              </w:rPr>
              <w:fldChar w:fldCharType="begin"/>
            </w:r>
            <w:r>
              <w:rPr>
                <w:noProof/>
                <w:webHidden/>
              </w:rPr>
              <w:instrText xml:space="preserve"> PAGEREF _Toc57368602 \h </w:instrText>
            </w:r>
            <w:r>
              <w:rPr>
                <w:noProof/>
                <w:webHidden/>
              </w:rPr>
            </w:r>
            <w:r>
              <w:rPr>
                <w:noProof/>
                <w:webHidden/>
              </w:rPr>
              <w:fldChar w:fldCharType="separate"/>
            </w:r>
            <w:r>
              <w:rPr>
                <w:noProof/>
                <w:webHidden/>
              </w:rPr>
              <w:t>36</w:t>
            </w:r>
            <w:r>
              <w:rPr>
                <w:noProof/>
                <w:webHidden/>
              </w:rPr>
              <w:fldChar w:fldCharType="end"/>
            </w:r>
          </w:hyperlink>
        </w:p>
        <w:p w14:paraId="086E4C67" w14:textId="0FE01C99" w:rsidR="00747E1A" w:rsidRDefault="00747E1A">
          <w:pPr>
            <w:pStyle w:val="TOC2"/>
            <w:tabs>
              <w:tab w:val="right" w:leader="dot" w:pos="9060"/>
            </w:tabs>
            <w:rPr>
              <w:rFonts w:asciiTheme="minorHAnsi" w:eastAsiaTheme="minorEastAsia" w:hAnsiTheme="minorHAnsi"/>
              <w:noProof/>
              <w:sz w:val="22"/>
              <w:lang w:val="en-AU" w:eastAsia="en-AU"/>
            </w:rPr>
          </w:pPr>
          <w:hyperlink w:anchor="_Toc57368603" w:history="1">
            <w:r w:rsidRPr="0092569F">
              <w:rPr>
                <w:rStyle w:val="Hyperlink"/>
                <w:noProof/>
              </w:rPr>
              <w:t>The role of healthcare professionals in addressing reproductive coercion</w:t>
            </w:r>
            <w:r>
              <w:rPr>
                <w:noProof/>
                <w:webHidden/>
              </w:rPr>
              <w:tab/>
            </w:r>
            <w:r>
              <w:rPr>
                <w:noProof/>
                <w:webHidden/>
              </w:rPr>
              <w:fldChar w:fldCharType="begin"/>
            </w:r>
            <w:r>
              <w:rPr>
                <w:noProof/>
                <w:webHidden/>
              </w:rPr>
              <w:instrText xml:space="preserve"> PAGEREF _Toc57368603 \h </w:instrText>
            </w:r>
            <w:r>
              <w:rPr>
                <w:noProof/>
                <w:webHidden/>
              </w:rPr>
            </w:r>
            <w:r>
              <w:rPr>
                <w:noProof/>
                <w:webHidden/>
              </w:rPr>
              <w:fldChar w:fldCharType="separate"/>
            </w:r>
            <w:r>
              <w:rPr>
                <w:noProof/>
                <w:webHidden/>
              </w:rPr>
              <w:t>40</w:t>
            </w:r>
            <w:r>
              <w:rPr>
                <w:noProof/>
                <w:webHidden/>
              </w:rPr>
              <w:fldChar w:fldCharType="end"/>
            </w:r>
          </w:hyperlink>
        </w:p>
        <w:p w14:paraId="0A75D0A8" w14:textId="5DEE5780" w:rsidR="00747E1A" w:rsidRDefault="00747E1A">
          <w:pPr>
            <w:pStyle w:val="TOC2"/>
            <w:tabs>
              <w:tab w:val="right" w:leader="dot" w:pos="9060"/>
            </w:tabs>
            <w:rPr>
              <w:rFonts w:asciiTheme="minorHAnsi" w:eastAsiaTheme="minorEastAsia" w:hAnsiTheme="minorHAnsi"/>
              <w:noProof/>
              <w:sz w:val="22"/>
              <w:lang w:val="en-AU" w:eastAsia="en-AU"/>
            </w:rPr>
          </w:pPr>
          <w:hyperlink w:anchor="_Toc57368604" w:history="1">
            <w:r w:rsidRPr="0092569F">
              <w:rPr>
                <w:rStyle w:val="Hyperlink"/>
                <w:noProof/>
              </w:rPr>
              <w:t>Structural issues and drivers of reproductive coercion</w:t>
            </w:r>
            <w:r>
              <w:rPr>
                <w:noProof/>
                <w:webHidden/>
              </w:rPr>
              <w:tab/>
            </w:r>
            <w:r>
              <w:rPr>
                <w:noProof/>
                <w:webHidden/>
              </w:rPr>
              <w:fldChar w:fldCharType="begin"/>
            </w:r>
            <w:r>
              <w:rPr>
                <w:noProof/>
                <w:webHidden/>
              </w:rPr>
              <w:instrText xml:space="preserve"> PAGEREF _Toc57368604 \h </w:instrText>
            </w:r>
            <w:r>
              <w:rPr>
                <w:noProof/>
                <w:webHidden/>
              </w:rPr>
            </w:r>
            <w:r>
              <w:rPr>
                <w:noProof/>
                <w:webHidden/>
              </w:rPr>
              <w:fldChar w:fldCharType="separate"/>
            </w:r>
            <w:r>
              <w:rPr>
                <w:noProof/>
                <w:webHidden/>
              </w:rPr>
              <w:t>45</w:t>
            </w:r>
            <w:r>
              <w:rPr>
                <w:noProof/>
                <w:webHidden/>
              </w:rPr>
              <w:fldChar w:fldCharType="end"/>
            </w:r>
          </w:hyperlink>
        </w:p>
        <w:p w14:paraId="64D26A36" w14:textId="6E0AB232" w:rsidR="00747E1A" w:rsidRDefault="00747E1A">
          <w:pPr>
            <w:pStyle w:val="TOC1"/>
            <w:rPr>
              <w:rFonts w:asciiTheme="minorHAnsi" w:eastAsiaTheme="minorEastAsia" w:hAnsiTheme="minorHAnsi"/>
              <w:b w:val="0"/>
              <w:sz w:val="22"/>
              <w:lang w:eastAsia="en-AU"/>
            </w:rPr>
          </w:pPr>
          <w:hyperlink w:anchor="_Toc57368605" w:history="1">
            <w:r w:rsidRPr="0092569F">
              <w:rPr>
                <w:rStyle w:val="Hyperlink"/>
              </w:rPr>
              <w:t>8. Health sector recommendations and progress</w:t>
            </w:r>
            <w:r>
              <w:rPr>
                <w:webHidden/>
              </w:rPr>
              <w:tab/>
            </w:r>
            <w:r>
              <w:rPr>
                <w:webHidden/>
              </w:rPr>
              <w:fldChar w:fldCharType="begin"/>
            </w:r>
            <w:r>
              <w:rPr>
                <w:webHidden/>
              </w:rPr>
              <w:instrText xml:space="preserve"> PAGEREF _Toc57368605 \h </w:instrText>
            </w:r>
            <w:r>
              <w:rPr>
                <w:webHidden/>
              </w:rPr>
            </w:r>
            <w:r>
              <w:rPr>
                <w:webHidden/>
              </w:rPr>
              <w:fldChar w:fldCharType="separate"/>
            </w:r>
            <w:r>
              <w:rPr>
                <w:webHidden/>
              </w:rPr>
              <w:t>57</w:t>
            </w:r>
            <w:r>
              <w:rPr>
                <w:webHidden/>
              </w:rPr>
              <w:fldChar w:fldCharType="end"/>
            </w:r>
          </w:hyperlink>
        </w:p>
        <w:p w14:paraId="774187C2" w14:textId="36852F91" w:rsidR="00747E1A" w:rsidRDefault="00747E1A">
          <w:pPr>
            <w:pStyle w:val="TOC2"/>
            <w:tabs>
              <w:tab w:val="right" w:leader="dot" w:pos="9060"/>
            </w:tabs>
            <w:rPr>
              <w:rFonts w:asciiTheme="minorHAnsi" w:eastAsiaTheme="minorEastAsia" w:hAnsiTheme="minorHAnsi"/>
              <w:noProof/>
              <w:sz w:val="22"/>
              <w:lang w:val="en-AU" w:eastAsia="en-AU"/>
            </w:rPr>
          </w:pPr>
          <w:hyperlink w:anchor="_Toc57368606" w:history="1">
            <w:r w:rsidRPr="0092569F">
              <w:rPr>
                <w:rStyle w:val="Hyperlink"/>
                <w:noProof/>
              </w:rPr>
              <w:t>Research recommendations</w:t>
            </w:r>
            <w:r>
              <w:rPr>
                <w:noProof/>
                <w:webHidden/>
              </w:rPr>
              <w:tab/>
            </w:r>
            <w:r>
              <w:rPr>
                <w:noProof/>
                <w:webHidden/>
              </w:rPr>
              <w:fldChar w:fldCharType="begin"/>
            </w:r>
            <w:r>
              <w:rPr>
                <w:noProof/>
                <w:webHidden/>
              </w:rPr>
              <w:instrText xml:space="preserve"> PAGEREF _Toc57368606 \h </w:instrText>
            </w:r>
            <w:r>
              <w:rPr>
                <w:noProof/>
                <w:webHidden/>
              </w:rPr>
            </w:r>
            <w:r>
              <w:rPr>
                <w:noProof/>
                <w:webHidden/>
              </w:rPr>
              <w:fldChar w:fldCharType="separate"/>
            </w:r>
            <w:r>
              <w:rPr>
                <w:noProof/>
                <w:webHidden/>
              </w:rPr>
              <w:t>57</w:t>
            </w:r>
            <w:r>
              <w:rPr>
                <w:noProof/>
                <w:webHidden/>
              </w:rPr>
              <w:fldChar w:fldCharType="end"/>
            </w:r>
          </w:hyperlink>
        </w:p>
        <w:p w14:paraId="28021E21" w14:textId="73A8283D" w:rsidR="00747E1A" w:rsidRDefault="00747E1A">
          <w:pPr>
            <w:pStyle w:val="TOC2"/>
            <w:tabs>
              <w:tab w:val="right" w:leader="dot" w:pos="9060"/>
            </w:tabs>
            <w:rPr>
              <w:rFonts w:asciiTheme="minorHAnsi" w:eastAsiaTheme="minorEastAsia" w:hAnsiTheme="minorHAnsi"/>
              <w:noProof/>
              <w:sz w:val="22"/>
              <w:lang w:val="en-AU" w:eastAsia="en-AU"/>
            </w:rPr>
          </w:pPr>
          <w:hyperlink w:anchor="_Toc57368607" w:history="1">
            <w:r w:rsidRPr="0092569F">
              <w:rPr>
                <w:rStyle w:val="Hyperlink"/>
                <w:noProof/>
              </w:rPr>
              <w:t>Policy recommendations</w:t>
            </w:r>
            <w:r>
              <w:rPr>
                <w:noProof/>
                <w:webHidden/>
              </w:rPr>
              <w:tab/>
            </w:r>
            <w:r>
              <w:rPr>
                <w:noProof/>
                <w:webHidden/>
              </w:rPr>
              <w:fldChar w:fldCharType="begin"/>
            </w:r>
            <w:r>
              <w:rPr>
                <w:noProof/>
                <w:webHidden/>
              </w:rPr>
              <w:instrText xml:space="preserve"> PAGEREF _Toc57368607 \h </w:instrText>
            </w:r>
            <w:r>
              <w:rPr>
                <w:noProof/>
                <w:webHidden/>
              </w:rPr>
            </w:r>
            <w:r>
              <w:rPr>
                <w:noProof/>
                <w:webHidden/>
              </w:rPr>
              <w:fldChar w:fldCharType="separate"/>
            </w:r>
            <w:r>
              <w:rPr>
                <w:noProof/>
                <w:webHidden/>
              </w:rPr>
              <w:t>60</w:t>
            </w:r>
            <w:r>
              <w:rPr>
                <w:noProof/>
                <w:webHidden/>
              </w:rPr>
              <w:fldChar w:fldCharType="end"/>
            </w:r>
          </w:hyperlink>
        </w:p>
        <w:p w14:paraId="744AAD2E" w14:textId="5F8CB3D0" w:rsidR="00747E1A" w:rsidRDefault="00747E1A">
          <w:pPr>
            <w:pStyle w:val="TOC2"/>
            <w:tabs>
              <w:tab w:val="right" w:leader="dot" w:pos="9060"/>
            </w:tabs>
            <w:rPr>
              <w:rFonts w:asciiTheme="minorHAnsi" w:eastAsiaTheme="minorEastAsia" w:hAnsiTheme="minorHAnsi"/>
              <w:noProof/>
              <w:sz w:val="22"/>
              <w:lang w:val="en-AU" w:eastAsia="en-AU"/>
            </w:rPr>
          </w:pPr>
          <w:hyperlink w:anchor="_Toc57368608" w:history="1">
            <w:r w:rsidRPr="0092569F">
              <w:rPr>
                <w:rStyle w:val="Hyperlink"/>
                <w:noProof/>
              </w:rPr>
              <w:t>Practice recommendations</w:t>
            </w:r>
            <w:r>
              <w:rPr>
                <w:noProof/>
                <w:webHidden/>
              </w:rPr>
              <w:tab/>
            </w:r>
            <w:r>
              <w:rPr>
                <w:noProof/>
                <w:webHidden/>
              </w:rPr>
              <w:fldChar w:fldCharType="begin"/>
            </w:r>
            <w:r>
              <w:rPr>
                <w:noProof/>
                <w:webHidden/>
              </w:rPr>
              <w:instrText xml:space="preserve"> PAGEREF _Toc57368608 \h </w:instrText>
            </w:r>
            <w:r>
              <w:rPr>
                <w:noProof/>
                <w:webHidden/>
              </w:rPr>
            </w:r>
            <w:r>
              <w:rPr>
                <w:noProof/>
                <w:webHidden/>
              </w:rPr>
              <w:fldChar w:fldCharType="separate"/>
            </w:r>
            <w:r>
              <w:rPr>
                <w:noProof/>
                <w:webHidden/>
              </w:rPr>
              <w:t>62</w:t>
            </w:r>
            <w:r>
              <w:rPr>
                <w:noProof/>
                <w:webHidden/>
              </w:rPr>
              <w:fldChar w:fldCharType="end"/>
            </w:r>
          </w:hyperlink>
        </w:p>
        <w:p w14:paraId="6FE2ABB4" w14:textId="0E3C39CD" w:rsidR="00747E1A" w:rsidRDefault="00747E1A">
          <w:pPr>
            <w:pStyle w:val="TOC1"/>
            <w:rPr>
              <w:rFonts w:asciiTheme="minorHAnsi" w:eastAsiaTheme="minorEastAsia" w:hAnsiTheme="minorHAnsi"/>
              <w:b w:val="0"/>
              <w:sz w:val="22"/>
              <w:lang w:eastAsia="en-AU"/>
            </w:rPr>
          </w:pPr>
          <w:hyperlink w:anchor="_Toc57368609" w:history="1">
            <w:r w:rsidRPr="0092569F">
              <w:rPr>
                <w:rStyle w:val="Hyperlink"/>
              </w:rPr>
              <w:t>9.  Commitments from Marie Stopes Australia</w:t>
            </w:r>
            <w:r>
              <w:rPr>
                <w:webHidden/>
              </w:rPr>
              <w:tab/>
            </w:r>
            <w:r>
              <w:rPr>
                <w:webHidden/>
              </w:rPr>
              <w:fldChar w:fldCharType="begin"/>
            </w:r>
            <w:r>
              <w:rPr>
                <w:webHidden/>
              </w:rPr>
              <w:instrText xml:space="preserve"> PAGEREF _Toc57368609 \h </w:instrText>
            </w:r>
            <w:r>
              <w:rPr>
                <w:webHidden/>
              </w:rPr>
            </w:r>
            <w:r>
              <w:rPr>
                <w:webHidden/>
              </w:rPr>
              <w:fldChar w:fldCharType="separate"/>
            </w:r>
            <w:r>
              <w:rPr>
                <w:webHidden/>
              </w:rPr>
              <w:t>63</w:t>
            </w:r>
            <w:r>
              <w:rPr>
                <w:webHidden/>
              </w:rPr>
              <w:fldChar w:fldCharType="end"/>
            </w:r>
          </w:hyperlink>
        </w:p>
        <w:p w14:paraId="65E20B1B" w14:textId="36B637A6" w:rsidR="00747E1A" w:rsidRDefault="00747E1A">
          <w:pPr>
            <w:pStyle w:val="TOC2"/>
            <w:tabs>
              <w:tab w:val="right" w:leader="dot" w:pos="9060"/>
            </w:tabs>
            <w:rPr>
              <w:rFonts w:asciiTheme="minorHAnsi" w:eastAsiaTheme="minorEastAsia" w:hAnsiTheme="minorHAnsi"/>
              <w:noProof/>
              <w:sz w:val="22"/>
              <w:lang w:val="en-AU" w:eastAsia="en-AU"/>
            </w:rPr>
          </w:pPr>
          <w:hyperlink w:anchor="_Toc57368610" w:history="1">
            <w:r w:rsidRPr="0092569F">
              <w:rPr>
                <w:rStyle w:val="Hyperlink"/>
                <w:noProof/>
              </w:rPr>
              <w:t>Continuous improvement</w:t>
            </w:r>
            <w:r>
              <w:rPr>
                <w:noProof/>
                <w:webHidden/>
              </w:rPr>
              <w:tab/>
            </w:r>
            <w:r>
              <w:rPr>
                <w:noProof/>
                <w:webHidden/>
              </w:rPr>
              <w:fldChar w:fldCharType="begin"/>
            </w:r>
            <w:r>
              <w:rPr>
                <w:noProof/>
                <w:webHidden/>
              </w:rPr>
              <w:instrText xml:space="preserve"> PAGEREF _Toc57368610 \h </w:instrText>
            </w:r>
            <w:r>
              <w:rPr>
                <w:noProof/>
                <w:webHidden/>
              </w:rPr>
            </w:r>
            <w:r>
              <w:rPr>
                <w:noProof/>
                <w:webHidden/>
              </w:rPr>
              <w:fldChar w:fldCharType="separate"/>
            </w:r>
            <w:r>
              <w:rPr>
                <w:noProof/>
                <w:webHidden/>
              </w:rPr>
              <w:t>63</w:t>
            </w:r>
            <w:r>
              <w:rPr>
                <w:noProof/>
                <w:webHidden/>
              </w:rPr>
              <w:fldChar w:fldCharType="end"/>
            </w:r>
          </w:hyperlink>
        </w:p>
        <w:p w14:paraId="2BD0E83F" w14:textId="21DA4D7F" w:rsidR="00747E1A" w:rsidRDefault="00747E1A">
          <w:pPr>
            <w:pStyle w:val="TOC2"/>
            <w:tabs>
              <w:tab w:val="right" w:leader="dot" w:pos="9060"/>
            </w:tabs>
            <w:rPr>
              <w:rFonts w:asciiTheme="minorHAnsi" w:eastAsiaTheme="minorEastAsia" w:hAnsiTheme="minorHAnsi"/>
              <w:noProof/>
              <w:sz w:val="22"/>
              <w:lang w:val="en-AU" w:eastAsia="en-AU"/>
            </w:rPr>
          </w:pPr>
          <w:hyperlink w:anchor="_Toc57368611" w:history="1">
            <w:r w:rsidRPr="0092569F">
              <w:rPr>
                <w:rStyle w:val="Hyperlink"/>
                <w:noProof/>
              </w:rPr>
              <w:t>Build and share evidence</w:t>
            </w:r>
            <w:r>
              <w:rPr>
                <w:noProof/>
                <w:webHidden/>
              </w:rPr>
              <w:tab/>
            </w:r>
            <w:r>
              <w:rPr>
                <w:noProof/>
                <w:webHidden/>
              </w:rPr>
              <w:fldChar w:fldCharType="begin"/>
            </w:r>
            <w:r>
              <w:rPr>
                <w:noProof/>
                <w:webHidden/>
              </w:rPr>
              <w:instrText xml:space="preserve"> PAGEREF _Toc57368611 \h </w:instrText>
            </w:r>
            <w:r>
              <w:rPr>
                <w:noProof/>
                <w:webHidden/>
              </w:rPr>
            </w:r>
            <w:r>
              <w:rPr>
                <w:noProof/>
                <w:webHidden/>
              </w:rPr>
              <w:fldChar w:fldCharType="separate"/>
            </w:r>
            <w:r>
              <w:rPr>
                <w:noProof/>
                <w:webHidden/>
              </w:rPr>
              <w:t>65</w:t>
            </w:r>
            <w:r>
              <w:rPr>
                <w:noProof/>
                <w:webHidden/>
              </w:rPr>
              <w:fldChar w:fldCharType="end"/>
            </w:r>
          </w:hyperlink>
        </w:p>
        <w:p w14:paraId="086A7FC6" w14:textId="743C3F22" w:rsidR="00747E1A" w:rsidRDefault="00747E1A">
          <w:pPr>
            <w:pStyle w:val="TOC2"/>
            <w:tabs>
              <w:tab w:val="right" w:leader="dot" w:pos="9060"/>
            </w:tabs>
            <w:rPr>
              <w:rFonts w:asciiTheme="minorHAnsi" w:eastAsiaTheme="minorEastAsia" w:hAnsiTheme="minorHAnsi"/>
              <w:noProof/>
              <w:sz w:val="22"/>
              <w:lang w:val="en-AU" w:eastAsia="en-AU"/>
            </w:rPr>
          </w:pPr>
          <w:hyperlink w:anchor="_Toc57368612" w:history="1">
            <w:r w:rsidRPr="0092569F">
              <w:rPr>
                <w:rStyle w:val="Hyperlink"/>
                <w:noProof/>
              </w:rPr>
              <w:t>Advocate for change</w:t>
            </w:r>
            <w:r>
              <w:rPr>
                <w:noProof/>
                <w:webHidden/>
              </w:rPr>
              <w:tab/>
            </w:r>
            <w:r>
              <w:rPr>
                <w:noProof/>
                <w:webHidden/>
              </w:rPr>
              <w:fldChar w:fldCharType="begin"/>
            </w:r>
            <w:r>
              <w:rPr>
                <w:noProof/>
                <w:webHidden/>
              </w:rPr>
              <w:instrText xml:space="preserve"> PAGEREF _Toc57368612 \h </w:instrText>
            </w:r>
            <w:r>
              <w:rPr>
                <w:noProof/>
                <w:webHidden/>
              </w:rPr>
            </w:r>
            <w:r>
              <w:rPr>
                <w:noProof/>
                <w:webHidden/>
              </w:rPr>
              <w:fldChar w:fldCharType="separate"/>
            </w:r>
            <w:r>
              <w:rPr>
                <w:noProof/>
                <w:webHidden/>
              </w:rPr>
              <w:t>67</w:t>
            </w:r>
            <w:r>
              <w:rPr>
                <w:noProof/>
                <w:webHidden/>
              </w:rPr>
              <w:fldChar w:fldCharType="end"/>
            </w:r>
          </w:hyperlink>
        </w:p>
        <w:p w14:paraId="78B47BF5" w14:textId="086A2477" w:rsidR="00747E1A" w:rsidRDefault="00747E1A">
          <w:pPr>
            <w:pStyle w:val="TOC1"/>
            <w:rPr>
              <w:rFonts w:asciiTheme="minorHAnsi" w:eastAsiaTheme="minorEastAsia" w:hAnsiTheme="minorHAnsi"/>
              <w:b w:val="0"/>
              <w:sz w:val="22"/>
              <w:lang w:eastAsia="en-AU"/>
            </w:rPr>
          </w:pPr>
          <w:hyperlink w:anchor="_Toc57368613" w:history="1">
            <w:r w:rsidRPr="0092569F">
              <w:rPr>
                <w:rStyle w:val="Hyperlink"/>
              </w:rPr>
              <w:t>10. Acknowledgements</w:t>
            </w:r>
            <w:r>
              <w:rPr>
                <w:webHidden/>
              </w:rPr>
              <w:tab/>
            </w:r>
            <w:r>
              <w:rPr>
                <w:webHidden/>
              </w:rPr>
              <w:fldChar w:fldCharType="begin"/>
            </w:r>
            <w:r>
              <w:rPr>
                <w:webHidden/>
              </w:rPr>
              <w:instrText xml:space="preserve"> PAGEREF _Toc57368613 \h </w:instrText>
            </w:r>
            <w:r>
              <w:rPr>
                <w:webHidden/>
              </w:rPr>
            </w:r>
            <w:r>
              <w:rPr>
                <w:webHidden/>
              </w:rPr>
              <w:fldChar w:fldCharType="separate"/>
            </w:r>
            <w:r>
              <w:rPr>
                <w:webHidden/>
              </w:rPr>
              <w:t>69</w:t>
            </w:r>
            <w:r>
              <w:rPr>
                <w:webHidden/>
              </w:rPr>
              <w:fldChar w:fldCharType="end"/>
            </w:r>
          </w:hyperlink>
        </w:p>
        <w:p w14:paraId="3F046C93" w14:textId="1F1BBC13" w:rsidR="00747E1A" w:rsidRDefault="00747E1A">
          <w:pPr>
            <w:pStyle w:val="TOC1"/>
            <w:rPr>
              <w:rFonts w:asciiTheme="minorHAnsi" w:eastAsiaTheme="minorEastAsia" w:hAnsiTheme="minorHAnsi"/>
              <w:b w:val="0"/>
              <w:sz w:val="22"/>
              <w:lang w:eastAsia="en-AU"/>
            </w:rPr>
          </w:pPr>
          <w:hyperlink w:anchor="_Toc57368614" w:history="1">
            <w:r w:rsidRPr="0092569F">
              <w:rPr>
                <w:rStyle w:val="Hyperlink"/>
              </w:rPr>
              <w:t>11. Support</w:t>
            </w:r>
            <w:r>
              <w:rPr>
                <w:webHidden/>
              </w:rPr>
              <w:tab/>
            </w:r>
            <w:r>
              <w:rPr>
                <w:webHidden/>
              </w:rPr>
              <w:fldChar w:fldCharType="begin"/>
            </w:r>
            <w:r>
              <w:rPr>
                <w:webHidden/>
              </w:rPr>
              <w:instrText xml:space="preserve"> PAGEREF _Toc57368614 \h </w:instrText>
            </w:r>
            <w:r>
              <w:rPr>
                <w:webHidden/>
              </w:rPr>
            </w:r>
            <w:r>
              <w:rPr>
                <w:webHidden/>
              </w:rPr>
              <w:fldChar w:fldCharType="separate"/>
            </w:r>
            <w:r>
              <w:rPr>
                <w:webHidden/>
              </w:rPr>
              <w:t>72</w:t>
            </w:r>
            <w:r>
              <w:rPr>
                <w:webHidden/>
              </w:rPr>
              <w:fldChar w:fldCharType="end"/>
            </w:r>
          </w:hyperlink>
        </w:p>
        <w:p w14:paraId="27C625EF" w14:textId="1C31605C" w:rsidR="00747E1A" w:rsidRDefault="00747E1A">
          <w:pPr>
            <w:pStyle w:val="TOC1"/>
            <w:rPr>
              <w:rFonts w:asciiTheme="minorHAnsi" w:eastAsiaTheme="minorEastAsia" w:hAnsiTheme="minorHAnsi"/>
              <w:b w:val="0"/>
              <w:sz w:val="22"/>
              <w:lang w:eastAsia="en-AU"/>
            </w:rPr>
          </w:pPr>
          <w:hyperlink w:anchor="_Toc57368615" w:history="1">
            <w:r w:rsidRPr="0092569F">
              <w:rPr>
                <w:rStyle w:val="Hyperlink"/>
              </w:rPr>
              <w:t>Annex 1. Reproductive coercion, IPV, FV, SV resources for Australian healthcare practitioners</w:t>
            </w:r>
            <w:r>
              <w:rPr>
                <w:webHidden/>
              </w:rPr>
              <w:tab/>
            </w:r>
            <w:r>
              <w:rPr>
                <w:webHidden/>
              </w:rPr>
              <w:fldChar w:fldCharType="begin"/>
            </w:r>
            <w:r>
              <w:rPr>
                <w:webHidden/>
              </w:rPr>
              <w:instrText xml:space="preserve"> PAGEREF _Toc57368615 \h </w:instrText>
            </w:r>
            <w:r>
              <w:rPr>
                <w:webHidden/>
              </w:rPr>
            </w:r>
            <w:r>
              <w:rPr>
                <w:webHidden/>
              </w:rPr>
              <w:fldChar w:fldCharType="separate"/>
            </w:r>
            <w:r>
              <w:rPr>
                <w:webHidden/>
              </w:rPr>
              <w:t>73</w:t>
            </w:r>
            <w:r>
              <w:rPr>
                <w:webHidden/>
              </w:rPr>
              <w:fldChar w:fldCharType="end"/>
            </w:r>
          </w:hyperlink>
        </w:p>
        <w:p w14:paraId="77AA1631" w14:textId="4252D25C" w:rsidR="00747E1A" w:rsidRDefault="00747E1A">
          <w:pPr>
            <w:pStyle w:val="TOC1"/>
            <w:rPr>
              <w:rFonts w:asciiTheme="minorHAnsi" w:eastAsiaTheme="minorEastAsia" w:hAnsiTheme="minorHAnsi"/>
              <w:b w:val="0"/>
              <w:sz w:val="22"/>
              <w:lang w:eastAsia="en-AU"/>
            </w:rPr>
          </w:pPr>
          <w:hyperlink w:anchor="_Toc57368616" w:history="1">
            <w:r w:rsidRPr="0092569F">
              <w:rPr>
                <w:rStyle w:val="Hyperlink"/>
              </w:rPr>
              <w:t>Endnotes</w:t>
            </w:r>
            <w:r>
              <w:rPr>
                <w:webHidden/>
              </w:rPr>
              <w:tab/>
            </w:r>
            <w:r>
              <w:rPr>
                <w:webHidden/>
              </w:rPr>
              <w:fldChar w:fldCharType="begin"/>
            </w:r>
            <w:r>
              <w:rPr>
                <w:webHidden/>
              </w:rPr>
              <w:instrText xml:space="preserve"> PAGEREF _Toc57368616 \h </w:instrText>
            </w:r>
            <w:r>
              <w:rPr>
                <w:webHidden/>
              </w:rPr>
            </w:r>
            <w:r>
              <w:rPr>
                <w:webHidden/>
              </w:rPr>
              <w:fldChar w:fldCharType="separate"/>
            </w:r>
            <w:r>
              <w:rPr>
                <w:webHidden/>
              </w:rPr>
              <w:t>76</w:t>
            </w:r>
            <w:r>
              <w:rPr>
                <w:webHidden/>
              </w:rPr>
              <w:fldChar w:fldCharType="end"/>
            </w:r>
          </w:hyperlink>
        </w:p>
        <w:p w14:paraId="532243DF" w14:textId="0F77D239" w:rsidR="00747E1A" w:rsidRDefault="00747E1A">
          <w:pPr>
            <w:pStyle w:val="TOC1"/>
            <w:rPr>
              <w:rFonts w:asciiTheme="minorHAnsi" w:eastAsiaTheme="minorEastAsia" w:hAnsiTheme="minorHAnsi"/>
              <w:b w:val="0"/>
              <w:sz w:val="22"/>
              <w:lang w:eastAsia="en-AU"/>
            </w:rPr>
          </w:pPr>
          <w:hyperlink r:id="rId9" w:anchor="_Toc57368617" w:history="1">
            <w:r w:rsidRPr="0092569F">
              <w:rPr>
                <w:rStyle w:val="Hyperlink"/>
              </w:rPr>
              <w:t>Further information and feedback</w:t>
            </w:r>
            <w:r>
              <w:rPr>
                <w:webHidden/>
              </w:rPr>
              <w:tab/>
            </w:r>
            <w:r>
              <w:rPr>
                <w:webHidden/>
              </w:rPr>
              <w:fldChar w:fldCharType="begin"/>
            </w:r>
            <w:r>
              <w:rPr>
                <w:webHidden/>
              </w:rPr>
              <w:instrText xml:space="preserve"> PAGEREF _Toc57368617 \h </w:instrText>
            </w:r>
            <w:r>
              <w:rPr>
                <w:webHidden/>
              </w:rPr>
            </w:r>
            <w:r>
              <w:rPr>
                <w:webHidden/>
              </w:rPr>
              <w:fldChar w:fldCharType="separate"/>
            </w:r>
            <w:r>
              <w:rPr>
                <w:webHidden/>
              </w:rPr>
              <w:t>87</w:t>
            </w:r>
            <w:r>
              <w:rPr>
                <w:webHidden/>
              </w:rPr>
              <w:fldChar w:fldCharType="end"/>
            </w:r>
          </w:hyperlink>
        </w:p>
        <w:p w14:paraId="32CF76AF" w14:textId="64929568" w:rsidR="00BE08D7" w:rsidRPr="00747E1A" w:rsidRDefault="00BE08D7" w:rsidP="00747E1A">
          <w:pPr>
            <w:pStyle w:val="TOC1"/>
            <w:rPr>
              <w:rFonts w:asciiTheme="minorHAnsi" w:eastAsiaTheme="minorEastAsia" w:hAnsiTheme="minorHAnsi"/>
              <w:b w:val="0"/>
              <w:sz w:val="22"/>
              <w:lang w:eastAsia="en-AU"/>
            </w:rPr>
          </w:pPr>
          <w:r w:rsidRPr="009A2C73">
            <w:rPr>
              <w:rFonts w:cs="Arial"/>
              <w:b w:val="0"/>
              <w:bCs/>
            </w:rPr>
            <w:fldChar w:fldCharType="end"/>
          </w:r>
        </w:p>
      </w:sdtContent>
    </w:sdt>
    <w:p w14:paraId="459B98CB" w14:textId="431F57C0" w:rsidR="00581A5E" w:rsidRDefault="005021A3" w:rsidP="00D0581F">
      <w:pPr>
        <w:pStyle w:val="Heading1"/>
        <w:spacing w:line="276" w:lineRule="auto"/>
      </w:pPr>
      <w:bookmarkStart w:id="55" w:name="_Toc37081722"/>
      <w:r w:rsidRPr="009A2C73">
        <w:rPr>
          <w:rFonts w:cs="Arial"/>
        </w:rPr>
        <w:br w:type="page"/>
      </w:r>
      <w:bookmarkStart w:id="56" w:name="_Toc57368574"/>
      <w:bookmarkEnd w:id="55"/>
      <w:r w:rsidR="0078106C">
        <w:rPr>
          <w:rFonts w:cs="Arial"/>
        </w:rPr>
        <w:lastRenderedPageBreak/>
        <w:t xml:space="preserve">1. </w:t>
      </w:r>
      <w:r w:rsidR="00581A5E">
        <w:t>Acronyms</w:t>
      </w:r>
      <w:bookmarkEnd w:id="56"/>
    </w:p>
    <w:p w14:paraId="24762B02" w14:textId="77777777" w:rsidR="00D0581F" w:rsidRPr="00D0581F" w:rsidRDefault="00D0581F" w:rsidP="00D0581F"/>
    <w:p w14:paraId="56F85301" w14:textId="77777777" w:rsidR="005E4DBD" w:rsidRDefault="005E4DBD" w:rsidP="00D0581F">
      <w:r>
        <w:t>ABS</w:t>
      </w:r>
      <w:r>
        <w:tab/>
      </w:r>
      <w:r>
        <w:tab/>
        <w:t>Australian Bureau of Statistics</w:t>
      </w:r>
    </w:p>
    <w:p w14:paraId="28C5E15C" w14:textId="106CE1A4" w:rsidR="00C06C17" w:rsidRDefault="00C06C17" w:rsidP="00D0581F">
      <w:r>
        <w:t>ACT</w:t>
      </w:r>
      <w:r>
        <w:tab/>
      </w:r>
      <w:r>
        <w:tab/>
        <w:t>Australian Capital Territory</w:t>
      </w:r>
    </w:p>
    <w:p w14:paraId="3479D56E" w14:textId="4181B9E8" w:rsidR="00194CC8" w:rsidRDefault="00194CC8" w:rsidP="00D0581F">
      <w:r>
        <w:t>AMA</w:t>
      </w:r>
      <w:r>
        <w:tab/>
      </w:r>
      <w:r>
        <w:tab/>
        <w:t>Australian Medical Association</w:t>
      </w:r>
    </w:p>
    <w:p w14:paraId="1F92D281" w14:textId="0A9941B1" w:rsidR="008B7F50" w:rsidRDefault="008B7F50" w:rsidP="00D0581F">
      <w:r>
        <w:t>ANROWS</w:t>
      </w:r>
      <w:r>
        <w:tab/>
      </w:r>
      <w:r w:rsidRPr="008B7F50">
        <w:rPr>
          <w:rStyle w:val="Emphasis"/>
          <w:i w:val="0"/>
        </w:rPr>
        <w:t>Australia's National Research Organisation for Women's Safety</w:t>
      </w:r>
    </w:p>
    <w:p w14:paraId="0CD3C6D0" w14:textId="32EA54E1" w:rsidR="005E4DBD" w:rsidRDefault="005E4DBD" w:rsidP="00D0581F">
      <w:r>
        <w:t>ARCHES</w:t>
      </w:r>
      <w:r>
        <w:tab/>
      </w:r>
      <w:r w:rsidRPr="00A618BE">
        <w:t>Addres</w:t>
      </w:r>
      <w:r>
        <w:t>sing Reproductive Coercion in He</w:t>
      </w:r>
      <w:r w:rsidRPr="00A618BE">
        <w:t>alth Settings</w:t>
      </w:r>
    </w:p>
    <w:p w14:paraId="5F9179F7" w14:textId="77777777" w:rsidR="005E4DBD" w:rsidRPr="00A618BE" w:rsidRDefault="005E4DBD" w:rsidP="00D0581F">
      <w:r>
        <w:t>CEDAW</w:t>
      </w:r>
      <w:r>
        <w:tab/>
      </w:r>
      <w:r w:rsidRPr="00A618BE">
        <w:t>Committee on the Elimination of Discrimination Against Women</w:t>
      </w:r>
    </w:p>
    <w:p w14:paraId="521D3073" w14:textId="2E237247" w:rsidR="00581A5E" w:rsidRPr="00A618BE" w:rsidRDefault="00581A5E" w:rsidP="00D0581F">
      <w:r>
        <w:t>CPD</w:t>
      </w:r>
      <w:r>
        <w:tab/>
      </w:r>
      <w:r>
        <w:tab/>
      </w:r>
      <w:r w:rsidRPr="00A618BE">
        <w:t xml:space="preserve">Continuing Professional Development </w:t>
      </w:r>
    </w:p>
    <w:p w14:paraId="43A5CFEE" w14:textId="37834272" w:rsidR="00267833" w:rsidRDefault="00267833" w:rsidP="00D0581F">
      <w:r>
        <w:t>DV</w:t>
      </w:r>
      <w:r>
        <w:tab/>
      </w:r>
      <w:r>
        <w:tab/>
        <w:t>Domestic Violence</w:t>
      </w:r>
    </w:p>
    <w:p w14:paraId="4550A49E" w14:textId="77777777" w:rsidR="00581A5E" w:rsidRPr="00A618BE" w:rsidRDefault="00581A5E" w:rsidP="00D0581F">
      <w:r w:rsidRPr="00A618BE">
        <w:t>FV</w:t>
      </w:r>
      <w:r w:rsidRPr="00A618BE">
        <w:tab/>
      </w:r>
      <w:r>
        <w:tab/>
      </w:r>
      <w:r w:rsidRPr="00A618BE">
        <w:t xml:space="preserve">Family Violence </w:t>
      </w:r>
    </w:p>
    <w:p w14:paraId="41C81731" w14:textId="77777777" w:rsidR="00581A5E" w:rsidRPr="00A618BE" w:rsidRDefault="00581A5E" w:rsidP="00D0581F">
      <w:r w:rsidRPr="00A618BE">
        <w:t>GP</w:t>
      </w:r>
      <w:r w:rsidRPr="00A618BE">
        <w:tab/>
      </w:r>
      <w:r>
        <w:tab/>
      </w:r>
      <w:r w:rsidRPr="00A618BE">
        <w:t>General Practitioner</w:t>
      </w:r>
    </w:p>
    <w:p w14:paraId="342E8BD1" w14:textId="77777777" w:rsidR="00581A5E" w:rsidRPr="00A618BE" w:rsidRDefault="00581A5E" w:rsidP="00D0581F">
      <w:proofErr w:type="gramStart"/>
      <w:r w:rsidRPr="00A618BE">
        <w:t xml:space="preserve">ICD  </w:t>
      </w:r>
      <w:r w:rsidRPr="00A618BE">
        <w:tab/>
      </w:r>
      <w:proofErr w:type="gramEnd"/>
      <w:r>
        <w:tab/>
      </w:r>
      <w:r w:rsidRPr="00A618BE">
        <w:t>International Classification of Diseases</w:t>
      </w:r>
    </w:p>
    <w:p w14:paraId="3725FB3E" w14:textId="77777777" w:rsidR="005E4DBD" w:rsidRPr="00A618BE" w:rsidRDefault="005E4DBD" w:rsidP="00D0581F">
      <w:r>
        <w:t>I</w:t>
      </w:r>
      <w:r w:rsidRPr="00A618BE">
        <w:t xml:space="preserve">PSV </w:t>
      </w:r>
      <w:r w:rsidRPr="00A618BE">
        <w:tab/>
      </w:r>
      <w:r>
        <w:tab/>
      </w:r>
      <w:r w:rsidRPr="00A618BE">
        <w:t>Intimate Partner Sexual Violence</w:t>
      </w:r>
    </w:p>
    <w:p w14:paraId="78B6A2AB" w14:textId="77777777" w:rsidR="00581A5E" w:rsidRPr="00A618BE" w:rsidRDefault="00581A5E" w:rsidP="00D0581F">
      <w:r w:rsidRPr="00A618BE">
        <w:t>IPV</w:t>
      </w:r>
      <w:r w:rsidRPr="00A618BE">
        <w:tab/>
      </w:r>
      <w:r>
        <w:tab/>
      </w:r>
      <w:r w:rsidRPr="00A618BE">
        <w:t>Intimate Partner Violence</w:t>
      </w:r>
    </w:p>
    <w:p w14:paraId="118B80D8" w14:textId="77777777" w:rsidR="00581A5E" w:rsidRPr="00A618BE" w:rsidRDefault="00581A5E" w:rsidP="00D0581F">
      <w:proofErr w:type="gramStart"/>
      <w:r w:rsidRPr="00A618BE">
        <w:t xml:space="preserve">LARC  </w:t>
      </w:r>
      <w:r>
        <w:tab/>
      </w:r>
      <w:proofErr w:type="gramEnd"/>
      <w:r w:rsidRPr="00A618BE">
        <w:t>Long Acting Reversible Contraception</w:t>
      </w:r>
    </w:p>
    <w:p w14:paraId="0ECE04BA" w14:textId="21507670" w:rsidR="008B7F50" w:rsidRDefault="008B7F50" w:rsidP="00D0581F">
      <w:r>
        <w:t>LGBTIQ</w:t>
      </w:r>
      <w:r w:rsidR="00C56F73">
        <w:t>+</w:t>
      </w:r>
      <w:r>
        <w:tab/>
        <w:t>Lesbian, Gay, Bisexual, Trans, Intersex and Queer</w:t>
      </w:r>
      <w:r w:rsidR="00C56F73">
        <w:t xml:space="preserve"> plus</w:t>
      </w:r>
      <w:r>
        <w:t xml:space="preserve"> </w:t>
      </w:r>
    </w:p>
    <w:p w14:paraId="2BDB08C4" w14:textId="60B5D0EE" w:rsidR="00267833" w:rsidRDefault="00267833" w:rsidP="00D0581F">
      <w:r>
        <w:t>MCWH</w:t>
      </w:r>
      <w:r>
        <w:tab/>
        <w:t>Multicultural Centre for Women’s Health</w:t>
      </w:r>
    </w:p>
    <w:p w14:paraId="3912A62E" w14:textId="1F98AE52" w:rsidR="005E4DBD" w:rsidRDefault="005E4DBD" w:rsidP="00D0581F">
      <w:r>
        <w:t>MBS</w:t>
      </w:r>
      <w:r>
        <w:tab/>
      </w:r>
      <w:r>
        <w:tab/>
        <w:t>Medicare Benefits Schedule</w:t>
      </w:r>
    </w:p>
    <w:p w14:paraId="1D06754F" w14:textId="213C2067" w:rsidR="00C06C17" w:rsidRDefault="00C06C17" w:rsidP="00D0581F">
      <w:r>
        <w:t>NSW</w:t>
      </w:r>
      <w:r>
        <w:tab/>
      </w:r>
      <w:r>
        <w:tab/>
        <w:t>New South Wales</w:t>
      </w:r>
    </w:p>
    <w:p w14:paraId="68ADEDA5" w14:textId="7671C58F" w:rsidR="00C06C17" w:rsidRDefault="00C06C17" w:rsidP="00D0581F">
      <w:r>
        <w:t>NT</w:t>
      </w:r>
      <w:r>
        <w:tab/>
      </w:r>
      <w:r>
        <w:tab/>
        <w:t>Northern Territory</w:t>
      </w:r>
    </w:p>
    <w:p w14:paraId="72879B45" w14:textId="52B79A79" w:rsidR="00581A5E" w:rsidRPr="00A618BE" w:rsidRDefault="00581A5E" w:rsidP="00D0581F">
      <w:proofErr w:type="gramStart"/>
      <w:r w:rsidRPr="00A618BE">
        <w:t xml:space="preserve">PTSD  </w:t>
      </w:r>
      <w:r>
        <w:tab/>
      </w:r>
      <w:proofErr w:type="gramEnd"/>
      <w:r>
        <w:t>Post-traumatic Stress D</w:t>
      </w:r>
      <w:r w:rsidRPr="00A618BE">
        <w:t>isorder</w:t>
      </w:r>
    </w:p>
    <w:p w14:paraId="2F6BAC1C" w14:textId="1803142E" w:rsidR="00C06C17" w:rsidRDefault="00C06C17" w:rsidP="00D0581F">
      <w:pPr>
        <w:ind w:left="1440" w:hanging="1440"/>
      </w:pPr>
      <w:r>
        <w:t>QLD</w:t>
      </w:r>
      <w:r>
        <w:tab/>
        <w:t>Queensland</w:t>
      </w:r>
    </w:p>
    <w:p w14:paraId="712DB225" w14:textId="7E26BE9E" w:rsidR="00194CC8" w:rsidRDefault="00194CC8" w:rsidP="00D0581F">
      <w:pPr>
        <w:ind w:left="1440" w:hanging="1440"/>
      </w:pPr>
      <w:r>
        <w:t>RACGP</w:t>
      </w:r>
      <w:r>
        <w:tab/>
      </w:r>
      <w:r w:rsidRPr="00BE4A29">
        <w:rPr>
          <w:rStyle w:val="Emphasis"/>
          <w:i w:val="0"/>
        </w:rPr>
        <w:t>Royal Australian College of General Practitioners</w:t>
      </w:r>
    </w:p>
    <w:p w14:paraId="0AFA8F7C" w14:textId="0F14B725" w:rsidR="008B7F50" w:rsidRDefault="008B7F50" w:rsidP="00D0581F">
      <w:pPr>
        <w:ind w:left="1440" w:hanging="1440"/>
      </w:pPr>
      <w:r>
        <w:t>RANZCOG</w:t>
      </w:r>
      <w:r>
        <w:tab/>
        <w:t>Royal Australia</w:t>
      </w:r>
      <w:r w:rsidR="00194CC8">
        <w:t>n</w:t>
      </w:r>
      <w:r>
        <w:t xml:space="preserve"> and New Zealand College </w:t>
      </w:r>
      <w:r>
        <w:rPr>
          <w:rStyle w:val="acopre"/>
        </w:rPr>
        <w:t>of Obstetricians and Gynaecologists</w:t>
      </w:r>
    </w:p>
    <w:p w14:paraId="4089700F" w14:textId="2AB57D85" w:rsidR="00C06C17" w:rsidRDefault="00581A5E" w:rsidP="00D0581F">
      <w:r w:rsidRPr="00A618BE">
        <w:t>RC</w:t>
      </w:r>
      <w:r w:rsidRPr="00A618BE">
        <w:tab/>
      </w:r>
      <w:r>
        <w:tab/>
      </w:r>
      <w:r w:rsidRPr="00A618BE">
        <w:t>Reproductive Coercion</w:t>
      </w:r>
    </w:p>
    <w:p w14:paraId="71D6BAEE" w14:textId="70DF93BD" w:rsidR="00C06C17" w:rsidRDefault="00C06C17" w:rsidP="00D0581F">
      <w:r>
        <w:t>SA</w:t>
      </w:r>
      <w:r>
        <w:tab/>
      </w:r>
      <w:r>
        <w:tab/>
        <w:t>South Australia</w:t>
      </w:r>
    </w:p>
    <w:p w14:paraId="18164B7E" w14:textId="466D8010" w:rsidR="008B7F50" w:rsidRDefault="008B7F50" w:rsidP="00D0581F">
      <w:r>
        <w:t>SHEV</w:t>
      </w:r>
      <w:r>
        <w:tab/>
      </w:r>
      <w:r>
        <w:tab/>
      </w:r>
      <w:r>
        <w:rPr>
          <w:rStyle w:val="acopre"/>
        </w:rPr>
        <w:t>Safe Haven Enterprise visa</w:t>
      </w:r>
    </w:p>
    <w:p w14:paraId="3D2C05C1" w14:textId="6EA41C07" w:rsidR="005E4DBD" w:rsidRDefault="005E4DBD" w:rsidP="00D0581F">
      <w:r>
        <w:t>SHQ</w:t>
      </w:r>
      <w:r>
        <w:tab/>
      </w:r>
      <w:r>
        <w:tab/>
        <w:t>Sexual Health Quarters</w:t>
      </w:r>
    </w:p>
    <w:p w14:paraId="33633942" w14:textId="36C8662B" w:rsidR="00E02300" w:rsidRDefault="00E02300" w:rsidP="00D0581F">
      <w:pPr>
        <w:ind w:left="1440" w:hanging="1440"/>
      </w:pPr>
      <w:r>
        <w:t>SPHERE</w:t>
      </w:r>
      <w:r>
        <w:tab/>
      </w:r>
      <w:r w:rsidRPr="00BE4A29">
        <w:rPr>
          <w:rStyle w:val="color15"/>
          <w:szCs w:val="24"/>
        </w:rPr>
        <w:t>Centre of Research Excellence in Sexual and Reproductive Health for Women in Primary Care</w:t>
      </w:r>
    </w:p>
    <w:p w14:paraId="43076843" w14:textId="6E9709E3" w:rsidR="008B7F50" w:rsidRDefault="008B7F50" w:rsidP="00D0581F">
      <w:r>
        <w:t>SRH</w:t>
      </w:r>
      <w:r>
        <w:tab/>
      </w:r>
      <w:r>
        <w:tab/>
      </w:r>
      <w:r w:rsidRPr="00A618BE">
        <w:t>Sexual and Reproductive Health</w:t>
      </w:r>
    </w:p>
    <w:p w14:paraId="148C630C" w14:textId="289DA674" w:rsidR="00581A5E" w:rsidRPr="00A618BE" w:rsidRDefault="00581A5E" w:rsidP="00D0581F">
      <w:proofErr w:type="gramStart"/>
      <w:r w:rsidRPr="00A618BE">
        <w:lastRenderedPageBreak/>
        <w:t xml:space="preserve">SRHR  </w:t>
      </w:r>
      <w:r w:rsidRPr="00A618BE">
        <w:tab/>
      </w:r>
      <w:proofErr w:type="gramEnd"/>
      <w:r w:rsidRPr="00A618BE">
        <w:t>Sexual and Reproductive Health and Rights</w:t>
      </w:r>
    </w:p>
    <w:p w14:paraId="68C07350" w14:textId="77777777" w:rsidR="00581A5E" w:rsidRPr="00A618BE" w:rsidRDefault="00581A5E" w:rsidP="00D0581F">
      <w:r w:rsidRPr="00A618BE">
        <w:t>STI</w:t>
      </w:r>
      <w:r w:rsidRPr="00A618BE">
        <w:tab/>
      </w:r>
      <w:r>
        <w:tab/>
      </w:r>
      <w:r w:rsidRPr="00A618BE">
        <w:t>Sexually Transmitted Infection</w:t>
      </w:r>
    </w:p>
    <w:p w14:paraId="3A14A77E" w14:textId="38AD180E" w:rsidR="00581A5E" w:rsidRDefault="00581A5E" w:rsidP="00D0581F">
      <w:r w:rsidRPr="00A618BE">
        <w:t>SV</w:t>
      </w:r>
      <w:r w:rsidRPr="00A618BE">
        <w:tab/>
      </w:r>
      <w:r>
        <w:tab/>
      </w:r>
      <w:r w:rsidRPr="00A618BE">
        <w:t>Sexual Violence</w:t>
      </w:r>
    </w:p>
    <w:p w14:paraId="3BC520DD" w14:textId="27088333" w:rsidR="00C06C17" w:rsidRDefault="00C06C17" w:rsidP="00D0581F">
      <w:r>
        <w:t>TAS</w:t>
      </w:r>
      <w:r>
        <w:tab/>
      </w:r>
      <w:r>
        <w:tab/>
        <w:t>Tasmania</w:t>
      </w:r>
    </w:p>
    <w:p w14:paraId="41641221" w14:textId="14091707" w:rsidR="008B7F50" w:rsidRDefault="008B7F50" w:rsidP="00D0581F">
      <w:r>
        <w:t>TPV</w:t>
      </w:r>
      <w:r>
        <w:tab/>
      </w:r>
      <w:r>
        <w:tab/>
        <w:t>Temporary Protection visa</w:t>
      </w:r>
    </w:p>
    <w:p w14:paraId="1BA4ABBB" w14:textId="6F626DE3" w:rsidR="00C06C17" w:rsidRDefault="00C06C17" w:rsidP="00D0581F">
      <w:r>
        <w:t>VIC</w:t>
      </w:r>
      <w:r>
        <w:tab/>
      </w:r>
      <w:r>
        <w:tab/>
        <w:t>Victoria</w:t>
      </w:r>
    </w:p>
    <w:p w14:paraId="197C5797" w14:textId="4D644B2C" w:rsidR="00C06C17" w:rsidRDefault="00C06C17" w:rsidP="00D0581F">
      <w:r>
        <w:t>WA</w:t>
      </w:r>
      <w:r>
        <w:tab/>
      </w:r>
      <w:r>
        <w:tab/>
        <w:t>Western Australia</w:t>
      </w:r>
    </w:p>
    <w:p w14:paraId="50BABB07" w14:textId="61DA9468" w:rsidR="00581A5E" w:rsidRPr="0084163D" w:rsidRDefault="008B7F50" w:rsidP="00D0581F">
      <w:r>
        <w:t xml:space="preserve">WHO </w:t>
      </w:r>
      <w:r>
        <w:tab/>
      </w:r>
      <w:r>
        <w:tab/>
        <w:t>World Health Organisation</w:t>
      </w:r>
      <w:r w:rsidR="00581A5E">
        <w:rPr>
          <w:rFonts w:cs="Arial"/>
        </w:rPr>
        <w:br w:type="page"/>
      </w:r>
    </w:p>
    <w:p w14:paraId="5C08E353" w14:textId="17620DA0" w:rsidR="00E514FB" w:rsidRDefault="00581A5E" w:rsidP="00D0581F">
      <w:pPr>
        <w:pStyle w:val="Heading1"/>
        <w:spacing w:line="276" w:lineRule="auto"/>
        <w:rPr>
          <w:rFonts w:cs="Arial"/>
        </w:rPr>
      </w:pPr>
      <w:bookmarkStart w:id="57" w:name="_Toc57368575"/>
      <w:r>
        <w:rPr>
          <w:rFonts w:cs="Arial"/>
        </w:rPr>
        <w:lastRenderedPageBreak/>
        <w:t xml:space="preserve">2. </w:t>
      </w:r>
      <w:r w:rsidR="009827AC">
        <w:rPr>
          <w:rFonts w:cs="Arial"/>
        </w:rPr>
        <w:t>Foreword</w:t>
      </w:r>
      <w:r w:rsidR="0078106C">
        <w:rPr>
          <w:rFonts w:cs="Arial"/>
        </w:rPr>
        <w:t>s</w:t>
      </w:r>
      <w:bookmarkEnd w:id="57"/>
    </w:p>
    <w:p w14:paraId="27B162B5" w14:textId="77777777" w:rsidR="00D0581F" w:rsidRPr="00D0581F" w:rsidRDefault="00D0581F" w:rsidP="00D0581F"/>
    <w:p w14:paraId="16705C65" w14:textId="77777777" w:rsidR="00B86D59" w:rsidRPr="00D76477" w:rsidRDefault="00B86D59" w:rsidP="00D0581F">
      <w:pPr>
        <w:pStyle w:val="CommentText"/>
        <w:spacing w:line="276" w:lineRule="auto"/>
        <w:rPr>
          <w:sz w:val="24"/>
          <w:szCs w:val="24"/>
        </w:rPr>
      </w:pPr>
      <w:bookmarkStart w:id="58" w:name="_Toc47512446"/>
      <w:bookmarkStart w:id="59" w:name="_Toc47278188"/>
      <w:r w:rsidRPr="00D76477">
        <w:rPr>
          <w:sz w:val="24"/>
          <w:szCs w:val="24"/>
        </w:rPr>
        <w:t>When I needed to access abortion in 2015 whilst in India for a university subject, my first healthcare provider informed me that abortion was illegal in that country. This was a lie that was based upon her religious convictions. When I realised I was being misled, I felt a sense of betrayal and disempowerment, as well as heartbreaking anger for all the other patients who had been coerced into continuing pregnancies that they did not want to keep, or being forced into finding other unsafe means of terminating their pregnancies. When one person denies another access to healthcare, they meet at the intersections of interpersonal and structural reproductive coercion.</w:t>
      </w:r>
    </w:p>
    <w:p w14:paraId="6F95466F" w14:textId="5B247A57" w:rsidR="00B86D59" w:rsidRPr="00D76477" w:rsidRDefault="00B86D59" w:rsidP="00D0581F">
      <w:pPr>
        <w:pStyle w:val="CommentText"/>
        <w:spacing w:line="276" w:lineRule="auto"/>
        <w:rPr>
          <w:sz w:val="24"/>
          <w:szCs w:val="24"/>
        </w:rPr>
      </w:pPr>
      <w:r w:rsidRPr="00D76477">
        <w:rPr>
          <w:sz w:val="24"/>
          <w:szCs w:val="24"/>
        </w:rPr>
        <w:t xml:space="preserve">This is not just an issue of the Global South. As Australia gradually decriminalises abortion across various states and territories, abortion should become more accessible, yet women and pregnant people are still being denied abortion care. Some GPs continue to put up signs in practices instructing patients that they will not offer abortion care. Some doctors refuse to offer or support patients to access all pregnancy options: abortion, adoption, care, kinship care and parenting. </w:t>
      </w:r>
    </w:p>
    <w:p w14:paraId="4CBC15EC" w14:textId="7577FCA4" w:rsidR="00B86D59" w:rsidRPr="00D76477" w:rsidRDefault="00B86D59" w:rsidP="00D0581F">
      <w:pPr>
        <w:pStyle w:val="CommentText"/>
        <w:spacing w:line="276" w:lineRule="auto"/>
        <w:rPr>
          <w:sz w:val="24"/>
          <w:szCs w:val="24"/>
        </w:rPr>
      </w:pPr>
      <w:r w:rsidRPr="00D76477">
        <w:rPr>
          <w:sz w:val="24"/>
          <w:szCs w:val="24"/>
        </w:rPr>
        <w:t xml:space="preserve">In 2020 we have seen the threat and destruction of the </w:t>
      </w:r>
      <w:proofErr w:type="spellStart"/>
      <w:r w:rsidRPr="00D76477">
        <w:rPr>
          <w:sz w:val="24"/>
          <w:szCs w:val="24"/>
        </w:rPr>
        <w:t>Djab</w:t>
      </w:r>
      <w:proofErr w:type="spellEnd"/>
      <w:r w:rsidRPr="00D76477">
        <w:rPr>
          <w:sz w:val="24"/>
          <w:szCs w:val="24"/>
        </w:rPr>
        <w:t xml:space="preserve"> Wurrung birthing trees. It has been an act of structural reproductive coercion upon </w:t>
      </w:r>
      <w:proofErr w:type="spellStart"/>
      <w:r w:rsidRPr="00D76477">
        <w:rPr>
          <w:sz w:val="24"/>
          <w:szCs w:val="24"/>
        </w:rPr>
        <w:t>Djab</w:t>
      </w:r>
      <w:proofErr w:type="spellEnd"/>
      <w:r w:rsidRPr="00D76477">
        <w:rPr>
          <w:sz w:val="24"/>
          <w:szCs w:val="24"/>
        </w:rPr>
        <w:t xml:space="preserve"> Wurrung birthing culture. Structural reproductive coercion is a colonial legacy in Australia. Aboriginal and Torres Strait Islander women and pregnant people who want to birth on Country and to do so safely, are in many instances are not supported to. They may be forced to travel to regional centres weeks before birthing for medical care, often alone. As a new mother myself, this disturbs me greatly.</w:t>
      </w:r>
    </w:p>
    <w:p w14:paraId="66A1D37A" w14:textId="77777777" w:rsidR="00B86D59" w:rsidRPr="00D76477" w:rsidRDefault="00B86D59" w:rsidP="00D0581F">
      <w:pPr>
        <w:pStyle w:val="CommentText"/>
        <w:spacing w:line="276" w:lineRule="auto"/>
        <w:rPr>
          <w:sz w:val="24"/>
          <w:szCs w:val="24"/>
        </w:rPr>
      </w:pPr>
      <w:r w:rsidRPr="00D76477">
        <w:rPr>
          <w:i/>
          <w:iCs/>
          <w:sz w:val="24"/>
          <w:szCs w:val="24"/>
        </w:rPr>
        <w:t>Hidden Forces</w:t>
      </w:r>
      <w:r w:rsidRPr="00D76477">
        <w:rPr>
          <w:sz w:val="24"/>
          <w:szCs w:val="24"/>
        </w:rPr>
        <w:t xml:space="preserve"> highlights the importance of embedding reproductive coercion in policy and practice. As a progress report, it demonstrates what has been achieved within the past two years. It also proves that there is so much more that we could be doing to prevent both interpersonal and structural aspects of reproductive coercion in Australia. </w:t>
      </w:r>
    </w:p>
    <w:p w14:paraId="693AD9DE" w14:textId="5B078249" w:rsidR="00B86D59" w:rsidRPr="00D76477" w:rsidRDefault="00B86D59" w:rsidP="00D0581F">
      <w:pPr>
        <w:pStyle w:val="CommentText"/>
        <w:spacing w:line="276" w:lineRule="auto"/>
        <w:rPr>
          <w:sz w:val="24"/>
          <w:szCs w:val="24"/>
        </w:rPr>
      </w:pPr>
      <w:r w:rsidRPr="00D76477">
        <w:rPr>
          <w:sz w:val="24"/>
          <w:szCs w:val="24"/>
        </w:rPr>
        <w:t xml:space="preserve">We know that reproductive coercion is a form of violence experienced by people of all sexualities and genders, people who straight, lesbian, gay, bisexual, pansexual, people who are trans, gender-diverse and agender, yet research remains largely heteronormative and cis-normative. If we want to include everyone who needs access, the </w:t>
      </w:r>
      <w:proofErr w:type="gramStart"/>
      <w:r w:rsidRPr="00D76477">
        <w:rPr>
          <w:sz w:val="24"/>
          <w:szCs w:val="24"/>
        </w:rPr>
        <w:t>perspectives</w:t>
      </w:r>
      <w:proofErr w:type="gramEnd"/>
      <w:r w:rsidRPr="00D76477">
        <w:rPr>
          <w:sz w:val="24"/>
          <w:szCs w:val="24"/>
        </w:rPr>
        <w:t xml:space="preserve"> and voices of people with diverse lived experiences need to be centred in the narrative of reproductive coercion. </w:t>
      </w:r>
    </w:p>
    <w:p w14:paraId="11C4FEBB" w14:textId="77777777" w:rsidR="00B86D59" w:rsidRPr="00D76477" w:rsidRDefault="00B86D59" w:rsidP="00D0581F">
      <w:pPr>
        <w:pStyle w:val="CommentText"/>
        <w:spacing w:line="276" w:lineRule="auto"/>
        <w:rPr>
          <w:sz w:val="24"/>
          <w:szCs w:val="24"/>
        </w:rPr>
      </w:pPr>
      <w:r w:rsidRPr="00D76477">
        <w:rPr>
          <w:sz w:val="24"/>
          <w:szCs w:val="24"/>
        </w:rPr>
        <w:t xml:space="preserve">There is a need to persevere in efforts to include reproductive coercion in screening and sensitive enquiry tools, knowing that a process of refinement and adaptation will be required across different countries, </w:t>
      </w:r>
      <w:proofErr w:type="gramStart"/>
      <w:r w:rsidRPr="00D76477">
        <w:rPr>
          <w:sz w:val="24"/>
          <w:szCs w:val="24"/>
        </w:rPr>
        <w:t>contexts</w:t>
      </w:r>
      <w:proofErr w:type="gramEnd"/>
      <w:r w:rsidRPr="00D76477">
        <w:rPr>
          <w:sz w:val="24"/>
          <w:szCs w:val="24"/>
        </w:rPr>
        <w:t xml:space="preserve"> and settings. Further research is required in considering reproductive coercion an early warning sign of an increased risk of escalation of violence, which will enhance prevention mechanisms and strengthen referral pathways to family violence support services.</w:t>
      </w:r>
    </w:p>
    <w:p w14:paraId="3683B3E9" w14:textId="3788B2F6" w:rsidR="00B36459" w:rsidRPr="00D76477" w:rsidRDefault="00B86D59" w:rsidP="00D0581F">
      <w:pPr>
        <w:pStyle w:val="CommentText"/>
        <w:spacing w:line="276" w:lineRule="auto"/>
        <w:rPr>
          <w:sz w:val="24"/>
          <w:szCs w:val="24"/>
        </w:rPr>
      </w:pPr>
      <w:r w:rsidRPr="00D76477">
        <w:rPr>
          <w:sz w:val="24"/>
          <w:szCs w:val="24"/>
        </w:rPr>
        <w:lastRenderedPageBreak/>
        <w:t xml:space="preserve">Discussions about preventing and responding to reproductive coercion in Australia will be ongoing. I look forward to collaboration across communities and sectors during the 2022 review of </w:t>
      </w:r>
      <w:r w:rsidRPr="00D76477">
        <w:rPr>
          <w:i/>
          <w:iCs/>
          <w:sz w:val="24"/>
          <w:szCs w:val="24"/>
        </w:rPr>
        <w:t>Hidden Forces</w:t>
      </w:r>
      <w:r w:rsidRPr="00D76477">
        <w:rPr>
          <w:sz w:val="24"/>
          <w:szCs w:val="24"/>
        </w:rPr>
        <w:t>.</w:t>
      </w:r>
    </w:p>
    <w:p w14:paraId="2E6A1BAF" w14:textId="29BDE81E" w:rsidR="000206EC" w:rsidRPr="00D76477" w:rsidRDefault="004A4A52" w:rsidP="00535F0B">
      <w:pPr>
        <w:rPr>
          <w:b/>
          <w:szCs w:val="24"/>
        </w:rPr>
      </w:pPr>
      <w:proofErr w:type="spellStart"/>
      <w:r w:rsidRPr="00D76477">
        <w:rPr>
          <w:b/>
          <w:szCs w:val="24"/>
        </w:rPr>
        <w:t>Nisha</w:t>
      </w:r>
      <w:r w:rsidR="00B548DF" w:rsidRPr="00D76477">
        <w:rPr>
          <w:b/>
          <w:szCs w:val="24"/>
        </w:rPr>
        <w:t>dee</w:t>
      </w:r>
      <w:proofErr w:type="spellEnd"/>
      <w:r w:rsidRPr="00D76477">
        <w:rPr>
          <w:b/>
          <w:szCs w:val="24"/>
        </w:rPr>
        <w:t xml:space="preserve"> Liyanage</w:t>
      </w:r>
      <w:r w:rsidR="00553E11" w:rsidRPr="00D76477">
        <w:rPr>
          <w:b/>
          <w:szCs w:val="24"/>
        </w:rPr>
        <w:br/>
      </w:r>
      <w:r w:rsidR="00581A5E" w:rsidRPr="00D76477">
        <w:rPr>
          <w:b/>
          <w:szCs w:val="24"/>
        </w:rPr>
        <w:t>Health Consumer Advisor</w:t>
      </w:r>
      <w:r w:rsidR="00553E11" w:rsidRPr="00D76477">
        <w:rPr>
          <w:b/>
          <w:szCs w:val="24"/>
        </w:rPr>
        <w:br/>
      </w:r>
      <w:r w:rsidR="00581A5E" w:rsidRPr="00D76477">
        <w:rPr>
          <w:b/>
          <w:szCs w:val="24"/>
        </w:rPr>
        <w:t>Marie Stopes Australia</w:t>
      </w:r>
      <w:r w:rsidR="000206EC" w:rsidRPr="00D76477">
        <w:rPr>
          <w:i/>
          <w:szCs w:val="24"/>
        </w:rPr>
        <w:br w:type="page"/>
      </w:r>
    </w:p>
    <w:p w14:paraId="37E7E39E" w14:textId="77777777" w:rsidR="00B36459" w:rsidRDefault="00B36459" w:rsidP="00D0581F"/>
    <w:p w14:paraId="72B35FA9" w14:textId="3D170A03" w:rsidR="004C3028" w:rsidRDefault="00502FD7" w:rsidP="00D0581F">
      <w:r>
        <w:t>The</w:t>
      </w:r>
      <w:r w:rsidR="000938A2">
        <w:t xml:space="preserve"> first edition of </w:t>
      </w:r>
      <w:r w:rsidR="000938A2" w:rsidRPr="00D0581F">
        <w:rPr>
          <w:i/>
          <w:iCs/>
        </w:rPr>
        <w:t>Hidden Forces</w:t>
      </w:r>
      <w:r w:rsidR="484506B7" w:rsidRPr="00BE4A29">
        <w:t>,</w:t>
      </w:r>
      <w:r w:rsidR="484506B7" w:rsidRPr="08F2C50C">
        <w:rPr>
          <w:i/>
          <w:iCs/>
        </w:rPr>
        <w:t xml:space="preserve"> </w:t>
      </w:r>
      <w:r w:rsidR="484506B7" w:rsidRPr="00BE4A29">
        <w:t>w</w:t>
      </w:r>
      <w:r w:rsidR="484506B7" w:rsidRPr="08F2C50C">
        <w:t>hich was</w:t>
      </w:r>
      <w:r w:rsidRPr="08F2C50C">
        <w:t xml:space="preserve"> </w:t>
      </w:r>
      <w:r>
        <w:t>published in 2018</w:t>
      </w:r>
      <w:r w:rsidR="5C790BF4">
        <w:t>,</w:t>
      </w:r>
      <w:r w:rsidR="000938A2">
        <w:t xml:space="preserve"> </w:t>
      </w:r>
      <w:r w:rsidR="00A4111F">
        <w:t>raised awareness</w:t>
      </w:r>
      <w:r w:rsidR="000938A2" w:rsidRPr="00BE4A29">
        <w:t xml:space="preserve"> </w:t>
      </w:r>
      <w:r w:rsidR="0477CE40">
        <w:t>around</w:t>
      </w:r>
      <w:r w:rsidR="000938A2" w:rsidRPr="00BE4A29">
        <w:t xml:space="preserve"> reproductive coercion</w:t>
      </w:r>
      <w:r w:rsidRPr="00BE4A29">
        <w:t xml:space="preserve"> as a form of </w:t>
      </w:r>
      <w:r w:rsidR="00CF471F">
        <w:t xml:space="preserve">abuse and </w:t>
      </w:r>
      <w:r w:rsidRPr="00BE4A29">
        <w:t>violence</w:t>
      </w:r>
      <w:r>
        <w:t xml:space="preserve">. </w:t>
      </w:r>
      <w:r w:rsidR="00CF471F">
        <w:t>Informed by over</w:t>
      </w:r>
      <w:r>
        <w:t xml:space="preserve"> 80 contributors from a </w:t>
      </w:r>
      <w:r w:rsidR="00DD38CE">
        <w:t>variety</w:t>
      </w:r>
      <w:r>
        <w:t xml:space="preserve"> of </w:t>
      </w:r>
      <w:r w:rsidR="003B085A">
        <w:rPr>
          <w:rFonts w:eastAsia="Times New Roman" w:cs="Arial"/>
          <w:szCs w:val="24"/>
          <w:lang w:eastAsia="en-AU"/>
        </w:rPr>
        <w:t xml:space="preserve">health, education, academic and legal </w:t>
      </w:r>
      <w:r w:rsidR="003B085A">
        <w:t>settings</w:t>
      </w:r>
      <w:r>
        <w:t>,</w:t>
      </w:r>
      <w:r w:rsidRPr="08F2C50C">
        <w:t xml:space="preserve"> </w:t>
      </w:r>
      <w:r w:rsidRPr="00D0581F">
        <w:rPr>
          <w:i/>
          <w:iCs/>
        </w:rPr>
        <w:t>Hidden Forces</w:t>
      </w:r>
      <w:r w:rsidRPr="08F2C50C">
        <w:t xml:space="preserve"> </w:t>
      </w:r>
      <w:r>
        <w:t xml:space="preserve">made a series of recommendations for </w:t>
      </w:r>
      <w:r w:rsidR="00DD38CE">
        <w:t>further collaborative action</w:t>
      </w:r>
      <w:r>
        <w:t xml:space="preserve">. </w:t>
      </w:r>
    </w:p>
    <w:p w14:paraId="1E9A0F69" w14:textId="7755EEDB" w:rsidR="00502FD7" w:rsidRPr="00BE4A29" w:rsidRDefault="00502FD7" w:rsidP="00D0581F">
      <w:pPr>
        <w:rPr>
          <w:i/>
          <w:iCs/>
        </w:rPr>
      </w:pPr>
      <w:r>
        <w:t xml:space="preserve">As </w:t>
      </w:r>
      <w:r w:rsidR="00DD38CE">
        <w:t>the facilitator of</w:t>
      </w:r>
      <w:r w:rsidR="004C3028">
        <w:t xml:space="preserve"> the</w:t>
      </w:r>
      <w:r w:rsidR="00DD38CE">
        <w:t xml:space="preserve"> </w:t>
      </w:r>
      <w:r w:rsidR="00DD38CE" w:rsidRPr="00D0581F">
        <w:rPr>
          <w:i/>
          <w:iCs/>
        </w:rPr>
        <w:t>Hidden Forces</w:t>
      </w:r>
      <w:r w:rsidR="004C3028" w:rsidRPr="00BE4A29">
        <w:rPr>
          <w:i/>
          <w:iCs/>
        </w:rPr>
        <w:t xml:space="preserve"> </w:t>
      </w:r>
      <w:r w:rsidR="004C6B33">
        <w:t>w</w:t>
      </w:r>
      <w:r w:rsidR="004C3028" w:rsidRPr="08F2C50C">
        <w:t xml:space="preserve">hite </w:t>
      </w:r>
      <w:r w:rsidR="004C6B33">
        <w:t>p</w:t>
      </w:r>
      <w:r w:rsidR="004C3028" w:rsidRPr="08F2C50C">
        <w:t>aper</w:t>
      </w:r>
      <w:r w:rsidR="00DD38CE" w:rsidRPr="08F2C50C">
        <w:t>,</w:t>
      </w:r>
      <w:r w:rsidR="004C3028">
        <w:t xml:space="preserve"> </w:t>
      </w:r>
      <w:r>
        <w:t>Marie Stopes Australia</w:t>
      </w:r>
      <w:r w:rsidR="004C3028">
        <w:t xml:space="preserve"> </w:t>
      </w:r>
      <w:r>
        <w:t xml:space="preserve">made </w:t>
      </w:r>
      <w:proofErr w:type="gramStart"/>
      <w:r>
        <w:t>a number of</w:t>
      </w:r>
      <w:proofErr w:type="gramEnd"/>
      <w:r>
        <w:t xml:space="preserve"> organisational commitments for change. </w:t>
      </w:r>
      <w:r w:rsidR="007931F1">
        <w:t>C</w:t>
      </w:r>
      <w:r w:rsidR="00CF471F">
        <w:t xml:space="preserve">ontinuous improvement </w:t>
      </w:r>
      <w:r w:rsidR="098ABB2C">
        <w:t>in the</w:t>
      </w:r>
      <w:r w:rsidR="00BE4A29">
        <w:t xml:space="preserve"> </w:t>
      </w:r>
      <w:r w:rsidR="00CF471F">
        <w:t>q</w:t>
      </w:r>
      <w:r w:rsidR="007931F1">
        <w:t xml:space="preserve">uality and safety </w:t>
      </w:r>
      <w:r w:rsidR="5290A14C">
        <w:t>of</w:t>
      </w:r>
      <w:r w:rsidR="007931F1">
        <w:t xml:space="preserve"> healthcare requires ongoing policy and practice development to prevent and respond to coercion.</w:t>
      </w:r>
      <w:r w:rsidR="1C855F25">
        <w:t xml:space="preserve"> This is critically important</w:t>
      </w:r>
      <w:r w:rsidR="087ABD4A">
        <w:t>,</w:t>
      </w:r>
      <w:r w:rsidR="1C855F25">
        <w:t xml:space="preserve"> as access to sexual and reproductive healthcare is a violence prevention mechanism. </w:t>
      </w:r>
    </w:p>
    <w:p w14:paraId="58E6CF91" w14:textId="14FECCB1" w:rsidR="00DD38CE" w:rsidRDefault="00502FD7" w:rsidP="00D0581F">
      <w:r>
        <w:t>Th</w:t>
      </w:r>
      <w:r w:rsidR="683594AD">
        <w:t>e</w:t>
      </w:r>
      <w:r>
        <w:t xml:space="preserve"> </w:t>
      </w:r>
      <w:r w:rsidR="00DD38CE">
        <w:t xml:space="preserve">second </w:t>
      </w:r>
      <w:r>
        <w:t>edition</w:t>
      </w:r>
      <w:r w:rsidR="00DD38CE">
        <w:t xml:space="preserve"> of </w:t>
      </w:r>
      <w:r w:rsidR="00DD38CE" w:rsidRPr="00D0581F">
        <w:rPr>
          <w:i/>
          <w:iCs/>
        </w:rPr>
        <w:t>Hidden Forces</w:t>
      </w:r>
      <w:r>
        <w:t xml:space="preserve"> provides a </w:t>
      </w:r>
      <w:r w:rsidR="403518EA">
        <w:t>two-year</w:t>
      </w:r>
      <w:r>
        <w:t xml:space="preserve"> progress report.</w:t>
      </w:r>
      <w:r w:rsidR="004C3028">
        <w:t xml:space="preserve"> There have been some </w:t>
      </w:r>
      <w:r w:rsidR="4AA17D01">
        <w:t>significant</w:t>
      </w:r>
      <w:r w:rsidR="004C3028">
        <w:t xml:space="preserve"> </w:t>
      </w:r>
      <w:r w:rsidR="7F12397C">
        <w:t>accomplishments in this space</w:t>
      </w:r>
      <w:r w:rsidR="2507C3CA">
        <w:t>;</w:t>
      </w:r>
      <w:r w:rsidR="004C3028">
        <w:t xml:space="preserve"> </w:t>
      </w:r>
      <w:r w:rsidR="00E56B71">
        <w:t>r</w:t>
      </w:r>
      <w:r>
        <w:t xml:space="preserve">eproductive coercion </w:t>
      </w:r>
      <w:r w:rsidR="004C3028">
        <w:t>was</w:t>
      </w:r>
      <w:r>
        <w:t xml:space="preserve"> embedded in the Women’s Health Strategy </w:t>
      </w:r>
      <w:r w:rsidR="00CF471F">
        <w:t>(</w:t>
      </w:r>
      <w:r>
        <w:t>2020-2030</w:t>
      </w:r>
      <w:r w:rsidR="00CF471F">
        <w:t>)</w:t>
      </w:r>
      <w:r w:rsidR="4E760564">
        <w:t>, and</w:t>
      </w:r>
      <w:r w:rsidR="54517045">
        <w:t xml:space="preserve"> </w:t>
      </w:r>
      <w:r w:rsidR="581585A5">
        <w:t>r</w:t>
      </w:r>
      <w:r w:rsidR="54517045">
        <w:t>e</w:t>
      </w:r>
      <w:r w:rsidR="33B499CE">
        <w:t>d</w:t>
      </w:r>
      <w:r w:rsidR="54517045">
        <w:t xml:space="preserve">ucing its </w:t>
      </w:r>
      <w:r w:rsidR="0604CA16">
        <w:t>prevalence</w:t>
      </w:r>
      <w:r w:rsidR="54517045">
        <w:t xml:space="preserve"> was</w:t>
      </w:r>
      <w:r w:rsidR="00DD38CE">
        <w:t xml:space="preserve"> </w:t>
      </w:r>
      <w:r w:rsidR="00BE4A29">
        <w:t>listed</w:t>
      </w:r>
      <w:r w:rsidR="00DD38CE">
        <w:t xml:space="preserve"> as a key measure of success</w:t>
      </w:r>
      <w:r>
        <w:t xml:space="preserve">. </w:t>
      </w:r>
      <w:r w:rsidR="007931F1">
        <w:t>There is</w:t>
      </w:r>
      <w:r w:rsidR="0747BA62">
        <w:t>,</w:t>
      </w:r>
      <w:r w:rsidR="007931F1">
        <w:t xml:space="preserve"> however</w:t>
      </w:r>
      <w:r w:rsidR="54451E31">
        <w:t>,</w:t>
      </w:r>
      <w:r w:rsidR="007931F1">
        <w:t xml:space="preserve"> still much to be done. Australia does not have a National Sexual and Reproductive Health Strategy</w:t>
      </w:r>
      <w:r w:rsidR="59CD0032">
        <w:t>, and</w:t>
      </w:r>
      <w:r w:rsidR="007931F1">
        <w:t xml:space="preserve"> </w:t>
      </w:r>
      <w:r w:rsidR="218EB165">
        <w:t>r</w:t>
      </w:r>
      <w:r w:rsidR="00DD38CE">
        <w:t>eproductive coercion</w:t>
      </w:r>
      <w:r w:rsidR="007931F1">
        <w:t xml:space="preserve"> is not yet</w:t>
      </w:r>
      <w:r>
        <w:t xml:space="preserve"> </w:t>
      </w:r>
      <w:r w:rsidR="007931F1">
        <w:t>detailed</w:t>
      </w:r>
      <w:r>
        <w:t xml:space="preserve"> in the National Plan to Reduce Violence Ag</w:t>
      </w:r>
      <w:r w:rsidR="007931F1">
        <w:t xml:space="preserve">ainst Women and Their Children. </w:t>
      </w:r>
    </w:p>
    <w:p w14:paraId="3D4F6747" w14:textId="25965E3E" w:rsidR="00776CB2" w:rsidRDefault="00DD38CE" w:rsidP="00D0581F">
      <w:r>
        <w:t xml:space="preserve">Increased and ongoing collaboration is essential </w:t>
      </w:r>
      <w:r w:rsidR="09EEBBF1">
        <w:t>in</w:t>
      </w:r>
      <w:r>
        <w:t xml:space="preserve"> the prevention of</w:t>
      </w:r>
      <w:r w:rsidR="3B57ABB0">
        <w:t>,</w:t>
      </w:r>
      <w:r>
        <w:t xml:space="preserve"> and response to</w:t>
      </w:r>
      <w:r w:rsidR="0AF92977">
        <w:t>,</w:t>
      </w:r>
      <w:r>
        <w:t xml:space="preserve"> reproductive coercion. </w:t>
      </w:r>
      <w:r w:rsidR="00A4111F">
        <w:t xml:space="preserve">Our </w:t>
      </w:r>
      <w:r>
        <w:t>understandings of</w:t>
      </w:r>
      <w:r w:rsidR="00A4111F">
        <w:t xml:space="preserve"> reproductive coercion </w:t>
      </w:r>
      <w:r>
        <w:t>will continue to</w:t>
      </w:r>
      <w:r w:rsidR="00A4111F">
        <w:t xml:space="preserve"> </w:t>
      </w:r>
      <w:r w:rsidRPr="00BE4A29">
        <w:t>deve</w:t>
      </w:r>
      <w:r>
        <w:t>lop</w:t>
      </w:r>
      <w:r w:rsidRPr="00BE4A29">
        <w:t xml:space="preserve"> alongside evolving models of care. </w:t>
      </w:r>
      <w:r w:rsidR="00A4111F">
        <w:t>A diversity of health consumer perspectives will continue to shape the language we use in clinical and community settings</w:t>
      </w:r>
      <w:r w:rsidRPr="00BE4A29">
        <w:t>.</w:t>
      </w:r>
      <w:r>
        <w:t xml:space="preserve"> </w:t>
      </w:r>
      <w:r w:rsidR="004C3028">
        <w:t>We need further investment in research and sector-wide capacity building alongside increased access to sexual and reproductive healthcare.</w:t>
      </w:r>
    </w:p>
    <w:p w14:paraId="1A12D3F7" w14:textId="714586F6" w:rsidR="00DD38CE" w:rsidRDefault="00DD38CE" w:rsidP="00D0581F">
      <w:r w:rsidRPr="00BE4A29">
        <w:t xml:space="preserve">Marie Stopes Australia </w:t>
      </w:r>
      <w:r w:rsidR="413A0FF2">
        <w:t xml:space="preserve">is </w:t>
      </w:r>
      <w:r w:rsidR="00FF1BCC" w:rsidRPr="00BE4A29">
        <w:t>commit</w:t>
      </w:r>
      <w:r w:rsidR="00FF1BCC">
        <w:t>ted</w:t>
      </w:r>
      <w:r w:rsidRPr="00BE4A29">
        <w:t xml:space="preserve"> to ongoing work in this space including a more significant review of </w:t>
      </w:r>
      <w:r w:rsidR="00CA75B9" w:rsidRPr="00D0581F">
        <w:rPr>
          <w:i/>
          <w:iCs/>
        </w:rPr>
        <w:t>Hidden Forces</w:t>
      </w:r>
      <w:r w:rsidRPr="00BE4A29">
        <w:t xml:space="preserve"> in 2022.</w:t>
      </w:r>
      <w:r w:rsidR="00776CB2">
        <w:t xml:space="preserve"> Until then</w:t>
      </w:r>
      <w:r w:rsidR="53656EDA">
        <w:t>,</w:t>
      </w:r>
      <w:r w:rsidR="00776CB2">
        <w:t xml:space="preserve"> we will continue to work </w:t>
      </w:r>
      <w:r w:rsidR="35C236A2">
        <w:t xml:space="preserve">collaboratively </w:t>
      </w:r>
      <w:r w:rsidR="00776CB2">
        <w:t xml:space="preserve">across sectors to progress the recommendations and commitments of </w:t>
      </w:r>
      <w:r w:rsidR="00776CB2" w:rsidRPr="00F200D8">
        <w:rPr>
          <w:i/>
          <w:iCs/>
        </w:rPr>
        <w:t>Hidden Forces</w:t>
      </w:r>
      <w:r w:rsidR="00776CB2">
        <w:t>.</w:t>
      </w:r>
    </w:p>
    <w:p w14:paraId="13577864" w14:textId="5A3E8CCC" w:rsidR="00C173D7" w:rsidRPr="00DD38CE" w:rsidRDefault="00C173D7" w:rsidP="00D0581F">
      <w:r>
        <w:t xml:space="preserve">I would like to extend thanks to Bonney Corbin, </w:t>
      </w:r>
      <w:r w:rsidR="004D500A">
        <w:t xml:space="preserve">Head of Policy, </w:t>
      </w:r>
      <w:r>
        <w:t>who led the effort in establishing this second edition. I would also like to extend thanks to everyone who has contributed to this second edition or contributed to the ongoing work in this space. It is only through the ongoing commitment and collaboration of people across sectors and organisations can we realise a reality where bodily autonomy is possible for all people.</w:t>
      </w:r>
    </w:p>
    <w:p w14:paraId="68333891" w14:textId="77777777" w:rsidR="00E15168" w:rsidRPr="00BE4A29" w:rsidRDefault="00E15168" w:rsidP="00D0581F">
      <w:pPr>
        <w:rPr>
          <w:i/>
        </w:rPr>
      </w:pPr>
    </w:p>
    <w:p w14:paraId="45C7B9BD" w14:textId="77777777" w:rsidR="00E15168" w:rsidRDefault="00E15168" w:rsidP="00D0581F">
      <w:pPr>
        <w:rPr>
          <w:b/>
        </w:rPr>
      </w:pPr>
      <w:r>
        <w:rPr>
          <w:b/>
        </w:rPr>
        <w:t>Jamal Hakim</w:t>
      </w:r>
    </w:p>
    <w:p w14:paraId="01928A68" w14:textId="764F7775" w:rsidR="00C93574" w:rsidRPr="008631FF" w:rsidRDefault="00E15168" w:rsidP="00D0581F">
      <w:pPr>
        <w:rPr>
          <w:b/>
        </w:rPr>
      </w:pPr>
      <w:r>
        <w:rPr>
          <w:b/>
        </w:rPr>
        <w:t>Managing Director</w:t>
      </w:r>
      <w:r w:rsidR="00C93574">
        <w:rPr>
          <w:b/>
        </w:rPr>
        <w:br/>
      </w:r>
      <w:r w:rsidR="00581A5E">
        <w:rPr>
          <w:b/>
        </w:rPr>
        <w:t>Marie Stopes Australia</w:t>
      </w:r>
    </w:p>
    <w:p w14:paraId="0C10D4DF" w14:textId="7B9D0224" w:rsidR="009827AC" w:rsidRDefault="009827AC" w:rsidP="00D0581F">
      <w:pPr>
        <w:rPr>
          <w:rFonts w:eastAsiaTheme="majorEastAsia" w:cs="Arial"/>
          <w:b/>
          <w:sz w:val="32"/>
          <w:szCs w:val="32"/>
        </w:rPr>
      </w:pPr>
      <w:r>
        <w:rPr>
          <w:rFonts w:cs="Arial"/>
        </w:rPr>
        <w:br w:type="page"/>
      </w:r>
    </w:p>
    <w:p w14:paraId="2F87A0C8" w14:textId="058A34D2" w:rsidR="00581A5E" w:rsidRPr="00A618BE" w:rsidRDefault="00581A5E" w:rsidP="00D0581F">
      <w:pPr>
        <w:pStyle w:val="Heading1"/>
        <w:spacing w:line="276" w:lineRule="auto"/>
      </w:pPr>
      <w:bookmarkStart w:id="60" w:name="_Toc57368576"/>
      <w:bookmarkEnd w:id="58"/>
      <w:bookmarkEnd w:id="59"/>
      <w:r>
        <w:rPr>
          <w:rFonts w:cs="Arial"/>
        </w:rPr>
        <w:lastRenderedPageBreak/>
        <w:t xml:space="preserve">3. </w:t>
      </w:r>
      <w:r w:rsidR="001D2819">
        <w:rPr>
          <w:rFonts w:cs="Arial"/>
        </w:rPr>
        <w:t xml:space="preserve">Executive </w:t>
      </w:r>
      <w:r w:rsidR="00B1653E">
        <w:rPr>
          <w:rFonts w:cs="Arial"/>
        </w:rPr>
        <w:t>s</w:t>
      </w:r>
      <w:r w:rsidR="001D2819">
        <w:rPr>
          <w:rFonts w:cs="Arial"/>
        </w:rPr>
        <w:t>ummary</w:t>
      </w:r>
      <w:bookmarkEnd w:id="60"/>
    </w:p>
    <w:p w14:paraId="72DB8BB6" w14:textId="176AF3C0" w:rsidR="00581A5E" w:rsidRPr="00A618BE" w:rsidRDefault="00581A5E" w:rsidP="00D0581F">
      <w:pPr>
        <w:pStyle w:val="Heading2"/>
      </w:pPr>
      <w:bookmarkStart w:id="61" w:name="_Toc530573333"/>
      <w:bookmarkStart w:id="62" w:name="_Toc57368577"/>
      <w:r w:rsidRPr="00A618BE">
        <w:t xml:space="preserve">What is </w:t>
      </w:r>
      <w:r w:rsidR="00B1653E">
        <w:t>r</w:t>
      </w:r>
      <w:r>
        <w:t xml:space="preserve">eproductive </w:t>
      </w:r>
      <w:r w:rsidR="00B1653E">
        <w:t>c</w:t>
      </w:r>
      <w:r>
        <w:t>oercion</w:t>
      </w:r>
      <w:r w:rsidRPr="00A618BE">
        <w:t>?</w:t>
      </w:r>
      <w:bookmarkEnd w:id="61"/>
      <w:bookmarkEnd w:id="62"/>
    </w:p>
    <w:p w14:paraId="6B8BB03A" w14:textId="35162FFE" w:rsidR="00581A5E" w:rsidRPr="00A618BE" w:rsidRDefault="00581A5E" w:rsidP="00D0581F">
      <w:r w:rsidRPr="00A618BE">
        <w:t xml:space="preserve">Reproductive </w:t>
      </w:r>
      <w:r w:rsidR="00B1653E">
        <w:t>c</w:t>
      </w:r>
      <w:r w:rsidRPr="00A618BE">
        <w:t>oercion</w:t>
      </w:r>
      <w:r w:rsidR="00F200D8">
        <w:t xml:space="preserve"> </w:t>
      </w:r>
      <w:r w:rsidRPr="00A618BE">
        <w:t>is behaviour that interferes with the autonomy of a person to make decisions about their reproductive health</w:t>
      </w:r>
      <w:r>
        <w:t>.</w:t>
      </w:r>
      <w:r w:rsidRPr="00A618BE">
        <w:rPr>
          <w:rStyle w:val="EndnoteReference"/>
        </w:rPr>
        <w:endnoteReference w:id="1"/>
      </w:r>
      <w:r w:rsidRPr="00A618BE">
        <w:t xml:space="preserve"> </w:t>
      </w:r>
      <w:r w:rsidR="00B1653E" w:rsidRPr="00A618BE">
        <w:t xml:space="preserve">Reproductive </w:t>
      </w:r>
      <w:r w:rsidR="00B1653E">
        <w:t>c</w:t>
      </w:r>
      <w:r w:rsidR="00B1653E" w:rsidRPr="00A618BE">
        <w:t>oercion</w:t>
      </w:r>
      <w:r w:rsidR="00B1653E" w:rsidRPr="00A618BE" w:rsidDel="006F54C3">
        <w:t xml:space="preserve"> </w:t>
      </w:r>
      <w:r w:rsidRPr="00A618BE">
        <w:t>includes any behaviour that has the intention of controlling or constraining another person’s reproductive health decision-making and can take a variety of forms. For example:</w:t>
      </w:r>
    </w:p>
    <w:p w14:paraId="68F480E7" w14:textId="4995EB86" w:rsidR="00581A5E" w:rsidRPr="00A618BE" w:rsidRDefault="00D76477" w:rsidP="00D0581F">
      <w:pPr>
        <w:pStyle w:val="ListParagraph"/>
        <w:numPr>
          <w:ilvl w:val="0"/>
          <w:numId w:val="7"/>
        </w:numPr>
        <w:spacing w:before="240" w:after="240"/>
      </w:pPr>
      <w:r>
        <w:t>S</w:t>
      </w:r>
      <w:r w:rsidR="00581A5E" w:rsidRPr="00A618BE">
        <w:t xml:space="preserve">abotage of another person’s contraception: e.g. deliberately removing or damaging a </w:t>
      </w:r>
      <w:r w:rsidR="00F200D8" w:rsidRPr="00A618BE">
        <w:t>condom or</w:t>
      </w:r>
      <w:r w:rsidR="00581A5E" w:rsidRPr="00A618BE">
        <w:t xml:space="preserve"> hiding or disposing of oral contraceptives</w:t>
      </w:r>
      <w:r>
        <w:t>.</w:t>
      </w:r>
    </w:p>
    <w:p w14:paraId="0702040D" w14:textId="177951F1" w:rsidR="00581A5E" w:rsidRPr="00A618BE" w:rsidRDefault="00D76477" w:rsidP="00D0581F">
      <w:pPr>
        <w:pStyle w:val="ListParagraph"/>
        <w:numPr>
          <w:ilvl w:val="0"/>
          <w:numId w:val="7"/>
        </w:numPr>
        <w:spacing w:before="240" w:after="240"/>
      </w:pPr>
      <w:r>
        <w:t>P</w:t>
      </w:r>
      <w:r w:rsidR="00581A5E" w:rsidRPr="00A618BE">
        <w:t>ressuring another person into pregnancy</w:t>
      </w:r>
      <w:r>
        <w:t>.</w:t>
      </w:r>
    </w:p>
    <w:p w14:paraId="736209F0" w14:textId="2449515C" w:rsidR="00581A5E" w:rsidRPr="00A618BE" w:rsidRDefault="00D76477" w:rsidP="00D0581F">
      <w:pPr>
        <w:pStyle w:val="ListParagraph"/>
        <w:numPr>
          <w:ilvl w:val="0"/>
          <w:numId w:val="7"/>
        </w:numPr>
        <w:spacing w:before="240" w:after="240"/>
      </w:pPr>
      <w:r>
        <w:t>C</w:t>
      </w:r>
      <w:r w:rsidR="00581A5E" w:rsidRPr="00A618BE">
        <w:t>ontrolling the outcome of another person’s pregnancy. For example, forcing another person to continue a pregnancy or forcing another person to terminate a pregnancy</w:t>
      </w:r>
      <w:r>
        <w:t>.</w:t>
      </w:r>
    </w:p>
    <w:p w14:paraId="13242444" w14:textId="38C71C50" w:rsidR="00581A5E" w:rsidRPr="00A618BE" w:rsidRDefault="00D76477" w:rsidP="00D0581F">
      <w:pPr>
        <w:pStyle w:val="ListParagraph"/>
        <w:numPr>
          <w:ilvl w:val="0"/>
          <w:numId w:val="7"/>
        </w:numPr>
        <w:spacing w:before="240" w:after="240"/>
      </w:pPr>
      <w:r>
        <w:t>F</w:t>
      </w:r>
      <w:r w:rsidR="00581A5E" w:rsidRPr="00A618BE">
        <w:t>orcing or coercing a person into sterilisation.</w:t>
      </w:r>
    </w:p>
    <w:p w14:paraId="6C9003B7" w14:textId="183FDD62" w:rsidR="00581A5E" w:rsidRPr="00A618BE" w:rsidRDefault="00B1653E" w:rsidP="00D0581F">
      <w:r w:rsidRPr="00A618BE">
        <w:t xml:space="preserve">Reproductive </w:t>
      </w:r>
      <w:r>
        <w:t>c</w:t>
      </w:r>
      <w:r w:rsidRPr="00A618BE">
        <w:t>oercion</w:t>
      </w:r>
      <w:r>
        <w:t xml:space="preserve"> </w:t>
      </w:r>
      <w:r w:rsidR="00581A5E" w:rsidRPr="00657E0E">
        <w:t xml:space="preserve">is a deliberate abuse of power that can be exerted using physical violence, such as sexual assault, </w:t>
      </w:r>
      <w:r w:rsidR="00581A5E">
        <w:t>but can also</w:t>
      </w:r>
      <w:r w:rsidR="00581A5E" w:rsidRPr="00657E0E">
        <w:t xml:space="preserve"> occur in the absence of physical violence.</w:t>
      </w:r>
      <w:r w:rsidR="00581A5E" w:rsidRPr="00657E0E">
        <w:rPr>
          <w:rStyle w:val="EndnoteReference"/>
        </w:rPr>
        <w:endnoteReference w:id="2"/>
      </w:r>
    </w:p>
    <w:p w14:paraId="6BEB7A77" w14:textId="7EA3D1B4" w:rsidR="00581A5E" w:rsidRPr="00A618BE" w:rsidRDefault="00581A5E" w:rsidP="00D0581F">
      <w:r w:rsidRPr="00A618BE">
        <w:t>R</w:t>
      </w:r>
      <w:r w:rsidR="00F200D8">
        <w:t>eproductive c</w:t>
      </w:r>
      <w:r w:rsidR="003C1D2D">
        <w:t>oercion</w:t>
      </w:r>
      <w:r w:rsidRPr="00A618BE">
        <w:t xml:space="preserve"> is exercised in two domains:</w:t>
      </w:r>
    </w:p>
    <w:p w14:paraId="43C61227" w14:textId="77777777" w:rsidR="00581A5E" w:rsidRPr="00A618BE" w:rsidRDefault="00581A5E" w:rsidP="00D0581F">
      <w:pPr>
        <w:pStyle w:val="ListParagraph"/>
        <w:numPr>
          <w:ilvl w:val="0"/>
          <w:numId w:val="8"/>
        </w:numPr>
        <w:spacing w:before="240" w:after="240"/>
      </w:pPr>
      <w:r w:rsidRPr="00A618BE">
        <w:t xml:space="preserve">The </w:t>
      </w:r>
      <w:r w:rsidRPr="00A618BE">
        <w:rPr>
          <w:b/>
        </w:rPr>
        <w:t>interpersonal</w:t>
      </w:r>
      <w:r w:rsidRPr="00A618BE">
        <w:t>: the intentional, controlling behaviours that are directly exerted on a person’s reproductive health by another person or persons.</w:t>
      </w:r>
    </w:p>
    <w:p w14:paraId="20B343CD" w14:textId="651CAC60" w:rsidR="00581A5E" w:rsidRPr="00A618BE" w:rsidRDefault="00581A5E" w:rsidP="00D0581F">
      <w:pPr>
        <w:pStyle w:val="ListParagraph"/>
        <w:numPr>
          <w:ilvl w:val="0"/>
          <w:numId w:val="8"/>
        </w:numPr>
        <w:spacing w:before="240" w:after="240"/>
      </w:pPr>
      <w:r w:rsidRPr="00A618BE">
        <w:t xml:space="preserve">The </w:t>
      </w:r>
      <w:r w:rsidRPr="00A618BE">
        <w:rPr>
          <w:b/>
        </w:rPr>
        <w:t>structural</w:t>
      </w:r>
      <w:r w:rsidRPr="00A618BE">
        <w:t xml:space="preserve">: the social, cultural, economic, </w:t>
      </w:r>
      <w:proofErr w:type="gramStart"/>
      <w:r w:rsidRPr="00A618BE">
        <w:t>legal</w:t>
      </w:r>
      <w:proofErr w:type="gramEnd"/>
      <w:r w:rsidRPr="00A618BE">
        <w:t xml:space="preserve"> and political drivers that create an enabling environment that supports or allows </w:t>
      </w:r>
      <w:r w:rsidR="00B1653E">
        <w:t>r</w:t>
      </w:r>
      <w:r w:rsidR="00B1653E" w:rsidRPr="00A618BE">
        <w:t xml:space="preserve">eproductive </w:t>
      </w:r>
      <w:r w:rsidR="00B1653E">
        <w:t>c</w:t>
      </w:r>
      <w:r w:rsidR="00B1653E" w:rsidRPr="00A618BE">
        <w:t>oercion</w:t>
      </w:r>
      <w:r w:rsidRPr="00A618BE">
        <w:t>. For example, gender inequality, government policy and legislation, workplace practices, limited access to appropriate healthcare and enabling cultural and social norms.</w:t>
      </w:r>
    </w:p>
    <w:p w14:paraId="183CDCF4" w14:textId="07D978CE" w:rsidR="00581A5E" w:rsidRPr="00A618BE" w:rsidRDefault="00581A5E" w:rsidP="00D0581F">
      <w:pPr>
        <w:pStyle w:val="Heading2"/>
      </w:pPr>
      <w:bookmarkStart w:id="63" w:name="_Toc530573334"/>
      <w:bookmarkStart w:id="64" w:name="_Toc57368578"/>
      <w:r w:rsidRPr="00A618BE">
        <w:t xml:space="preserve">Why </w:t>
      </w:r>
      <w:r w:rsidR="00B1653E">
        <w:t>d</w:t>
      </w:r>
      <w:r w:rsidRPr="00A618BE">
        <w:t xml:space="preserve">oes </w:t>
      </w:r>
      <w:r w:rsidR="00B1653E">
        <w:t>reproductive coercion</w:t>
      </w:r>
      <w:r w:rsidR="00B1653E" w:rsidRPr="00A618BE">
        <w:t xml:space="preserve"> </w:t>
      </w:r>
      <w:r w:rsidR="00B1653E">
        <w:t>m</w:t>
      </w:r>
      <w:r w:rsidRPr="00A618BE">
        <w:t>atter?</w:t>
      </w:r>
      <w:bookmarkEnd w:id="63"/>
      <w:bookmarkEnd w:id="64"/>
    </w:p>
    <w:p w14:paraId="71F52912" w14:textId="2670BE4E" w:rsidR="00581A5E" w:rsidRDefault="00B1653E" w:rsidP="00D0581F">
      <w:r w:rsidRPr="00A618BE">
        <w:t xml:space="preserve">Reproductive </w:t>
      </w:r>
      <w:r>
        <w:t>c</w:t>
      </w:r>
      <w:r w:rsidRPr="00A618BE">
        <w:t>oercion</w:t>
      </w:r>
      <w:r w:rsidRPr="00A618BE" w:rsidDel="006F54C3">
        <w:t xml:space="preserve"> </w:t>
      </w:r>
      <w:r w:rsidR="00581A5E" w:rsidRPr="00A618BE">
        <w:t>is a public health issue that negatively impacts on mental health, sexual and reproductive health and maternal and child health</w:t>
      </w:r>
      <w:r w:rsidR="00581A5E">
        <w:t>.</w:t>
      </w:r>
      <w:r w:rsidR="00581A5E" w:rsidRPr="00A618BE">
        <w:rPr>
          <w:rStyle w:val="EndnoteReference"/>
        </w:rPr>
        <w:endnoteReference w:id="3"/>
      </w:r>
      <w:r w:rsidR="00581A5E" w:rsidRPr="00A618BE">
        <w:t xml:space="preserve"> </w:t>
      </w:r>
      <w:r w:rsidRPr="00A618BE">
        <w:t xml:space="preserve">Reproductive </w:t>
      </w:r>
      <w:r>
        <w:t>c</w:t>
      </w:r>
      <w:r w:rsidRPr="00A618BE">
        <w:t>oercion</w:t>
      </w:r>
      <w:r w:rsidRPr="00A618BE" w:rsidDel="006F54C3">
        <w:t xml:space="preserve"> </w:t>
      </w:r>
      <w:r w:rsidR="00581A5E" w:rsidRPr="00A618BE">
        <w:t>is also often associated with Family Violence (FV), Intimate Partner Violence (IPV) and Sexual Violence (SV)</w:t>
      </w:r>
      <w:r w:rsidR="00581A5E">
        <w:t>.</w:t>
      </w:r>
      <w:r w:rsidR="00581A5E" w:rsidRPr="00A618BE">
        <w:rPr>
          <w:rStyle w:val="EndnoteReference"/>
        </w:rPr>
        <w:endnoteReference w:id="4"/>
      </w:r>
      <w:r w:rsidR="00581A5E" w:rsidRPr="00A618BE">
        <w:t xml:space="preserve"> On average, one woman is killed by an abusive male partner in Australia each week</w:t>
      </w:r>
      <w:r w:rsidR="00581A5E">
        <w:t>.</w:t>
      </w:r>
      <w:r w:rsidR="00581A5E" w:rsidRPr="00A618BE">
        <w:rPr>
          <w:rStyle w:val="EndnoteReference"/>
        </w:rPr>
        <w:endnoteReference w:id="5"/>
      </w:r>
      <w:r w:rsidR="00581A5E" w:rsidRPr="00A618BE">
        <w:t xml:space="preserve"> Therefore, in addition to addressing </w:t>
      </w:r>
      <w:r w:rsidR="009E1676">
        <w:t>r</w:t>
      </w:r>
      <w:r w:rsidRPr="00A618BE">
        <w:t xml:space="preserve">eproductive </w:t>
      </w:r>
      <w:r>
        <w:t>c</w:t>
      </w:r>
      <w:r w:rsidRPr="00A618BE">
        <w:t>oercion</w:t>
      </w:r>
      <w:r w:rsidRPr="00A618BE" w:rsidDel="006F54C3">
        <w:t xml:space="preserve"> </w:t>
      </w:r>
      <w:r w:rsidR="00581A5E" w:rsidRPr="00A618BE">
        <w:t xml:space="preserve">as an important issue in its own right, there is a compelling public health and safety rationale for exploring how approaches to </w:t>
      </w:r>
      <w:r>
        <w:t>r</w:t>
      </w:r>
      <w:r w:rsidRPr="00A618BE">
        <w:t xml:space="preserve">eproductive </w:t>
      </w:r>
      <w:r>
        <w:t>c</w:t>
      </w:r>
      <w:r w:rsidRPr="00A618BE">
        <w:t>oercion</w:t>
      </w:r>
      <w:r w:rsidRPr="00A618BE" w:rsidDel="006F54C3">
        <w:t xml:space="preserve"> </w:t>
      </w:r>
      <w:r w:rsidR="00581A5E" w:rsidRPr="00A618BE">
        <w:t>can improve</w:t>
      </w:r>
      <w:r w:rsidR="009E1676">
        <w:t xml:space="preserve"> prevention and</w:t>
      </w:r>
      <w:r w:rsidR="00581A5E" w:rsidRPr="00A618BE">
        <w:t xml:space="preserve"> responses to FV, IPV and SV.</w:t>
      </w:r>
    </w:p>
    <w:p w14:paraId="47B74237" w14:textId="77777777" w:rsidR="00F200D8" w:rsidRDefault="00F200D8">
      <w:pPr>
        <w:spacing w:after="160" w:line="259" w:lineRule="auto"/>
        <w:rPr>
          <w:rFonts w:eastAsiaTheme="majorEastAsia" w:cs="Arial"/>
          <w:b/>
          <w:sz w:val="32"/>
          <w:szCs w:val="32"/>
        </w:rPr>
      </w:pPr>
      <w:bookmarkStart w:id="65" w:name="_Toc530573335"/>
      <w:r>
        <w:br w:type="page"/>
      </w:r>
    </w:p>
    <w:p w14:paraId="65358CBA" w14:textId="38D4686F" w:rsidR="00581A5E" w:rsidRPr="00A618BE" w:rsidRDefault="00581A5E" w:rsidP="00D0581F">
      <w:pPr>
        <w:pStyle w:val="Heading2"/>
      </w:pPr>
      <w:bookmarkStart w:id="66" w:name="_Toc57368579"/>
      <w:r w:rsidRPr="00A618BE">
        <w:lastRenderedPageBreak/>
        <w:t xml:space="preserve">About this </w:t>
      </w:r>
      <w:r w:rsidR="001D2819">
        <w:t>document</w:t>
      </w:r>
      <w:bookmarkEnd w:id="65"/>
      <w:bookmarkEnd w:id="66"/>
    </w:p>
    <w:p w14:paraId="128F23E3" w14:textId="5B4B292E" w:rsidR="00B56730" w:rsidRDefault="00581A5E" w:rsidP="00D0581F">
      <w:r w:rsidRPr="00A618BE">
        <w:t xml:space="preserve">In March 2017, Marie Stopes Australia </w:t>
      </w:r>
      <w:r w:rsidR="009E1676">
        <w:t>undertook</w:t>
      </w:r>
      <w:r w:rsidR="009E1676" w:rsidRPr="00A618BE">
        <w:t xml:space="preserve"> </w:t>
      </w:r>
      <w:r w:rsidRPr="00A618BE">
        <w:t xml:space="preserve">a process to explore and raise the profile of the largely hidden issue of </w:t>
      </w:r>
      <w:r w:rsidR="00B1653E">
        <w:t>r</w:t>
      </w:r>
      <w:r w:rsidR="00B1653E" w:rsidRPr="00A618BE">
        <w:t xml:space="preserve">eproductive </w:t>
      </w:r>
      <w:r w:rsidR="00B1653E">
        <w:t>c</w:t>
      </w:r>
      <w:r w:rsidR="00B1653E" w:rsidRPr="00A618BE">
        <w:t>oercion</w:t>
      </w:r>
      <w:r w:rsidRPr="00A618BE">
        <w:t xml:space="preserve">. During 2017 and 2018, stakeholder engagement and consultation </w:t>
      </w:r>
      <w:r w:rsidR="009E1676">
        <w:t>defined</w:t>
      </w:r>
      <w:r w:rsidRPr="00A618BE">
        <w:t xml:space="preserve"> </w:t>
      </w:r>
      <w:r w:rsidR="00B1653E">
        <w:t>r</w:t>
      </w:r>
      <w:r w:rsidR="00B1653E" w:rsidRPr="00A618BE">
        <w:t xml:space="preserve">eproductive </w:t>
      </w:r>
      <w:r w:rsidR="00B1653E">
        <w:t>c</w:t>
      </w:r>
      <w:r w:rsidR="00B1653E" w:rsidRPr="00A618BE">
        <w:t>oercion</w:t>
      </w:r>
      <w:r w:rsidR="00B1653E">
        <w:t xml:space="preserve"> </w:t>
      </w:r>
      <w:r w:rsidRPr="00A618BE">
        <w:t>and examine</w:t>
      </w:r>
      <w:r w:rsidR="009E1676">
        <w:t>d</w:t>
      </w:r>
      <w:r w:rsidRPr="00A618BE">
        <w:t xml:space="preserve"> approaches to addressing </w:t>
      </w:r>
      <w:r w:rsidR="00B1653E">
        <w:t>r</w:t>
      </w:r>
      <w:r w:rsidR="00B1653E" w:rsidRPr="00A618BE">
        <w:t xml:space="preserve">eproductive </w:t>
      </w:r>
      <w:r w:rsidR="00B1653E">
        <w:t>c</w:t>
      </w:r>
      <w:r w:rsidR="00B1653E" w:rsidRPr="00A618BE">
        <w:t>oercion</w:t>
      </w:r>
      <w:r w:rsidR="00B1653E">
        <w:t xml:space="preserve"> </w:t>
      </w:r>
      <w:r w:rsidRPr="00A618BE">
        <w:t xml:space="preserve">through research, </w:t>
      </w:r>
      <w:proofErr w:type="gramStart"/>
      <w:r w:rsidRPr="00A618BE">
        <w:t>policy</w:t>
      </w:r>
      <w:proofErr w:type="gramEnd"/>
      <w:r w:rsidRPr="00A618BE">
        <w:t xml:space="preserve"> and practice. </w:t>
      </w:r>
    </w:p>
    <w:p w14:paraId="526498B5" w14:textId="30A7A5E3" w:rsidR="00581A5E" w:rsidRDefault="00581A5E" w:rsidP="00D0581F">
      <w:r w:rsidRPr="00A618BE">
        <w:t xml:space="preserve">The result </w:t>
      </w:r>
      <w:r w:rsidR="009E1676">
        <w:t>was</w:t>
      </w:r>
      <w:r w:rsidR="009E1676" w:rsidRPr="00A618BE">
        <w:t xml:space="preserve"> </w:t>
      </w:r>
      <w:r w:rsidRPr="00A618BE">
        <w:t>th</w:t>
      </w:r>
      <w:r w:rsidR="00B56730">
        <w:t xml:space="preserve">e first edition of the </w:t>
      </w:r>
      <w:r w:rsidR="00B56730" w:rsidRPr="00F200D8">
        <w:rPr>
          <w:i/>
          <w:iCs/>
        </w:rPr>
        <w:t>Hidden Forces</w:t>
      </w:r>
      <w:r w:rsidRPr="00A618BE">
        <w:t xml:space="preserve"> </w:t>
      </w:r>
      <w:r w:rsidR="00B56730">
        <w:t>w</w:t>
      </w:r>
      <w:r w:rsidRPr="00A618BE">
        <w:t xml:space="preserve">hite </w:t>
      </w:r>
      <w:r w:rsidR="00B56730">
        <w:t>p</w:t>
      </w:r>
      <w:r w:rsidRPr="00A618BE">
        <w:t>aper, which aim</w:t>
      </w:r>
      <w:r w:rsidR="00B56730">
        <w:t>ed</w:t>
      </w:r>
      <w:r w:rsidRPr="00A618BE">
        <w:t xml:space="preserve"> to provide a comprehensive reference resource for those working to address </w:t>
      </w:r>
      <w:r w:rsidR="00B1653E">
        <w:t>r</w:t>
      </w:r>
      <w:r w:rsidR="00B1653E" w:rsidRPr="00A618BE">
        <w:t xml:space="preserve">eproductive </w:t>
      </w:r>
      <w:r w:rsidR="00B1653E">
        <w:t>c</w:t>
      </w:r>
      <w:r w:rsidR="00B1653E" w:rsidRPr="00A618BE">
        <w:t>oercion</w:t>
      </w:r>
      <w:r w:rsidR="00B1653E">
        <w:t xml:space="preserve"> </w:t>
      </w:r>
      <w:r w:rsidRPr="00A618BE">
        <w:t>in Australia and offer</w:t>
      </w:r>
      <w:r w:rsidR="009E1676">
        <w:t>ed</w:t>
      </w:r>
      <w:r w:rsidRPr="00A618BE">
        <w:t xml:space="preserve"> recommendations on addressing </w:t>
      </w:r>
      <w:r w:rsidR="00B1653E">
        <w:t>r</w:t>
      </w:r>
      <w:r w:rsidR="00B1653E" w:rsidRPr="00A618BE">
        <w:t xml:space="preserve">eproductive </w:t>
      </w:r>
      <w:r w:rsidR="00B1653E">
        <w:t>c</w:t>
      </w:r>
      <w:r w:rsidR="00B1653E" w:rsidRPr="00A618BE">
        <w:t>oercion</w:t>
      </w:r>
      <w:r w:rsidR="00B1653E">
        <w:t xml:space="preserve"> </w:t>
      </w:r>
      <w:r w:rsidRPr="00A618BE">
        <w:t xml:space="preserve">collaboratively and across multiple sectors. </w:t>
      </w:r>
    </w:p>
    <w:p w14:paraId="4B9E5CCB" w14:textId="0B3BFF93" w:rsidR="00B56730" w:rsidRDefault="00B56730" w:rsidP="00D0581F">
      <w:r>
        <w:t xml:space="preserve">In 2020 the first edition was </w:t>
      </w:r>
      <w:r w:rsidR="00836472">
        <w:t>reviewed to provide an update on</w:t>
      </w:r>
      <w:r>
        <w:t xml:space="preserve"> progress </w:t>
      </w:r>
      <w:r w:rsidR="002D729E">
        <w:t>of report</w:t>
      </w:r>
      <w:r>
        <w:t xml:space="preserve"> recommendations. </w:t>
      </w:r>
      <w:r w:rsidR="002D729E">
        <w:t>This second edition subsequently amended section</w:t>
      </w:r>
      <w:r w:rsidR="00D771BE">
        <w:t>s</w:t>
      </w:r>
      <w:r w:rsidR="002D729E">
        <w:t xml:space="preserve"> eight</w:t>
      </w:r>
      <w:r w:rsidR="00D771BE">
        <w:t xml:space="preserve"> and nine</w:t>
      </w:r>
      <w:r w:rsidR="002D729E">
        <w:t xml:space="preserve">, noting progress within the previous two years, ongoing </w:t>
      </w:r>
      <w:proofErr w:type="gramStart"/>
      <w:r w:rsidR="002D729E">
        <w:t>gaps</w:t>
      </w:r>
      <w:proofErr w:type="gramEnd"/>
      <w:r w:rsidR="002D729E">
        <w:t xml:space="preserve"> and additional recommendations for future development.</w:t>
      </w:r>
    </w:p>
    <w:p w14:paraId="67E2F761" w14:textId="342475BF" w:rsidR="00806F40" w:rsidRPr="00A618BE" w:rsidRDefault="00806F40" w:rsidP="00D0581F">
      <w:pPr>
        <w:pStyle w:val="Heading2"/>
      </w:pPr>
      <w:bookmarkStart w:id="67" w:name="_Toc57368580"/>
      <w:r>
        <w:t>The language of gender</w:t>
      </w:r>
      <w:bookmarkEnd w:id="67"/>
    </w:p>
    <w:p w14:paraId="05646548" w14:textId="77777777" w:rsidR="00806F40" w:rsidRPr="009A18A4" w:rsidRDefault="00806F40" w:rsidP="00D0581F">
      <w:bookmarkStart w:id="68" w:name="_Toc530573336"/>
      <w:r w:rsidRPr="009A18A4">
        <w:t xml:space="preserve">Marie Stopes Australia provides sexual and reproductive healthcare to people of all genders and non-binary people. Each year, thousands of women and pregnant people across Australia choose to access abortion care through Marie Stopes Australia clinics. </w:t>
      </w:r>
    </w:p>
    <w:p w14:paraId="778E1DB2" w14:textId="4DBD83F1" w:rsidR="00806F40" w:rsidRPr="009A18A4" w:rsidRDefault="00806F40" w:rsidP="00D0581F">
      <w:r>
        <w:t xml:space="preserve">This report references other publications that are predominantly </w:t>
      </w:r>
      <w:r w:rsidR="009E1676">
        <w:t>hetero-normative and cis-normative</w:t>
      </w:r>
      <w:r>
        <w:t xml:space="preserve">. Subsequently sections of this report may seem to position women as if they are sole service users of abortion care. Women may be primary users, but </w:t>
      </w:r>
      <w:r w:rsidR="009E1676">
        <w:t>people of diverse</w:t>
      </w:r>
      <w:r>
        <w:t xml:space="preserve"> genders and non-binary people access abortion care in Australia.</w:t>
      </w:r>
    </w:p>
    <w:p w14:paraId="118FF939" w14:textId="533F59D4" w:rsidR="00806F40" w:rsidRDefault="00806F40" w:rsidP="00D0581F">
      <w:r w:rsidRPr="009A18A4">
        <w:t xml:space="preserve">Women and pregnant people, in </w:t>
      </w:r>
      <w:proofErr w:type="gramStart"/>
      <w:r w:rsidRPr="009A18A4">
        <w:t>all of</w:t>
      </w:r>
      <w:proofErr w:type="gramEnd"/>
      <w:r w:rsidRPr="009A18A4">
        <w:t xml:space="preserve"> our diversity, deserve reproductive autonomy. Subsequently there is much work to do to ensure sexual and reproductive healthcare is accessible and equitable for all people in Australia. </w:t>
      </w:r>
    </w:p>
    <w:p w14:paraId="7843291F" w14:textId="420C23A6" w:rsidR="00581A5E" w:rsidRPr="00A618BE" w:rsidRDefault="00581A5E" w:rsidP="00D0581F">
      <w:pPr>
        <w:pStyle w:val="Heading2"/>
      </w:pPr>
      <w:bookmarkStart w:id="69" w:name="_Toc57368581"/>
      <w:r w:rsidRPr="00A618BE">
        <w:t xml:space="preserve">Terms of </w:t>
      </w:r>
      <w:r w:rsidR="00B1653E">
        <w:t>r</w:t>
      </w:r>
      <w:r w:rsidRPr="00A618BE">
        <w:t>eference</w:t>
      </w:r>
      <w:bookmarkEnd w:id="68"/>
      <w:bookmarkEnd w:id="69"/>
    </w:p>
    <w:p w14:paraId="438D9481" w14:textId="1738C75D" w:rsidR="00581A5E" w:rsidRPr="00A618BE" w:rsidRDefault="00581A5E" w:rsidP="00D0581F">
      <w:r w:rsidRPr="00A618BE">
        <w:t xml:space="preserve">Terms of </w:t>
      </w:r>
      <w:r w:rsidR="00E21BA8">
        <w:t>r</w:t>
      </w:r>
      <w:r w:rsidRPr="00A618BE">
        <w:t xml:space="preserve">eference for this enquiry into </w:t>
      </w:r>
      <w:r w:rsidR="00B1653E">
        <w:t>r</w:t>
      </w:r>
      <w:r w:rsidR="00B1653E" w:rsidRPr="00A618BE">
        <w:t xml:space="preserve">eproductive </w:t>
      </w:r>
      <w:r w:rsidR="00B1653E">
        <w:t>c</w:t>
      </w:r>
      <w:r w:rsidR="00B1653E" w:rsidRPr="00A618BE">
        <w:t>oercion</w:t>
      </w:r>
      <w:r w:rsidR="00B1653E">
        <w:t xml:space="preserve"> </w:t>
      </w:r>
      <w:r w:rsidRPr="00A618BE">
        <w:t xml:space="preserve">were developed following a stakeholder roundtable at the Children </w:t>
      </w:r>
      <w:r w:rsidR="00B1653E">
        <w:t>b</w:t>
      </w:r>
      <w:r w:rsidRPr="00A618BE">
        <w:t xml:space="preserve">y Choice Conference in August 2017. The </w:t>
      </w:r>
      <w:r w:rsidR="00E21BA8">
        <w:t>t</w:t>
      </w:r>
      <w:r w:rsidRPr="00A618BE">
        <w:t xml:space="preserve">erms of </w:t>
      </w:r>
      <w:r w:rsidR="00E21BA8">
        <w:t>r</w:t>
      </w:r>
      <w:r w:rsidRPr="00A618BE">
        <w:t>eference investigated three themes:</w:t>
      </w:r>
    </w:p>
    <w:p w14:paraId="2986F7A6" w14:textId="313E55A3" w:rsidR="00581A5E" w:rsidRPr="00A618BE" w:rsidRDefault="00581A5E" w:rsidP="00D0581F">
      <w:pPr>
        <w:pStyle w:val="ListParagraph"/>
        <w:numPr>
          <w:ilvl w:val="0"/>
          <w:numId w:val="40"/>
        </w:numPr>
        <w:spacing w:before="240" w:after="240"/>
      </w:pPr>
      <w:r w:rsidRPr="00A618BE">
        <w:t xml:space="preserve">Existing knowledge, practices and networks that address </w:t>
      </w:r>
      <w:r w:rsidR="00B1653E">
        <w:t>r</w:t>
      </w:r>
      <w:r w:rsidR="00B1653E" w:rsidRPr="00A618BE">
        <w:t xml:space="preserve">eproductive </w:t>
      </w:r>
      <w:r w:rsidR="00B1653E">
        <w:t>c</w:t>
      </w:r>
      <w:r w:rsidR="00B1653E" w:rsidRPr="00A618BE">
        <w:t>oercion</w:t>
      </w:r>
      <w:r w:rsidR="00F02FFF">
        <w:t>.</w:t>
      </w:r>
    </w:p>
    <w:p w14:paraId="39D76C87" w14:textId="3F6815EC" w:rsidR="00581A5E" w:rsidRPr="00A618BE" w:rsidRDefault="00581A5E" w:rsidP="00D0581F">
      <w:pPr>
        <w:pStyle w:val="ListParagraph"/>
        <w:numPr>
          <w:ilvl w:val="0"/>
          <w:numId w:val="40"/>
        </w:numPr>
        <w:spacing w:before="240" w:after="240"/>
      </w:pPr>
      <w:r w:rsidRPr="00A618BE">
        <w:t xml:space="preserve">Key approaches to addressing gaps in </w:t>
      </w:r>
      <w:r w:rsidR="00B1653E">
        <w:t>r</w:t>
      </w:r>
      <w:r w:rsidR="00B1653E" w:rsidRPr="00A618BE">
        <w:t xml:space="preserve">eproductive </w:t>
      </w:r>
      <w:r w:rsidR="00B1653E">
        <w:t>c</w:t>
      </w:r>
      <w:r w:rsidR="00B1653E" w:rsidRPr="00A618BE">
        <w:t>oercion</w:t>
      </w:r>
      <w:r w:rsidR="002D729E">
        <w:t xml:space="preserve"> </w:t>
      </w:r>
      <w:r w:rsidRPr="00A618BE">
        <w:t xml:space="preserve">research, </w:t>
      </w:r>
      <w:proofErr w:type="gramStart"/>
      <w:r w:rsidRPr="00A618BE">
        <w:t>policy</w:t>
      </w:r>
      <w:proofErr w:type="gramEnd"/>
      <w:r w:rsidRPr="00A618BE">
        <w:t xml:space="preserve"> and practice.</w:t>
      </w:r>
    </w:p>
    <w:p w14:paraId="186B4CFD" w14:textId="77777777" w:rsidR="00581A5E" w:rsidRPr="00A618BE" w:rsidRDefault="00581A5E" w:rsidP="00D0581F">
      <w:pPr>
        <w:pStyle w:val="ListParagraph"/>
        <w:numPr>
          <w:ilvl w:val="0"/>
          <w:numId w:val="40"/>
        </w:numPr>
        <w:spacing w:before="240" w:after="240"/>
      </w:pPr>
      <w:r w:rsidRPr="00A618BE">
        <w:t xml:space="preserve">Future opportunities including collaborations and innovation from other fields and sectors. </w:t>
      </w:r>
    </w:p>
    <w:p w14:paraId="6775467F" w14:textId="77777777" w:rsidR="00581A5E" w:rsidRPr="00A618BE" w:rsidRDefault="00581A5E" w:rsidP="00D0581F">
      <w:pPr>
        <w:pStyle w:val="Heading2"/>
      </w:pPr>
      <w:bookmarkStart w:id="70" w:name="_Toc530573337"/>
      <w:bookmarkStart w:id="71" w:name="_Toc57368582"/>
      <w:r w:rsidRPr="00A618BE">
        <w:lastRenderedPageBreak/>
        <w:t>Consultation</w:t>
      </w:r>
      <w:bookmarkEnd w:id="70"/>
      <w:bookmarkEnd w:id="71"/>
      <w:r w:rsidRPr="00A618BE">
        <w:t xml:space="preserve"> </w:t>
      </w:r>
    </w:p>
    <w:p w14:paraId="191E6602" w14:textId="05CF78F8" w:rsidR="00581A5E" w:rsidRPr="00A618BE" w:rsidRDefault="00581A5E" w:rsidP="00D0581F">
      <w:r w:rsidRPr="00A618BE">
        <w:t xml:space="preserve">Following an exploratory roundtable to develop the enquiry’s </w:t>
      </w:r>
      <w:r w:rsidR="002D729E">
        <w:t>t</w:t>
      </w:r>
      <w:r w:rsidRPr="00A618BE">
        <w:t xml:space="preserve">erms of </w:t>
      </w:r>
      <w:r w:rsidR="002D729E">
        <w:t>r</w:t>
      </w:r>
      <w:r w:rsidRPr="00A618BE">
        <w:t xml:space="preserve">eference, Marie Stopes Australia received submissions from 84 organisations and individuals across two consultation phases. </w:t>
      </w:r>
    </w:p>
    <w:p w14:paraId="3E3C1579" w14:textId="0360804A" w:rsidR="00581A5E" w:rsidRPr="00A618BE" w:rsidRDefault="00581A5E" w:rsidP="00D0581F">
      <w:pPr>
        <w:pStyle w:val="Heading2"/>
      </w:pPr>
      <w:bookmarkStart w:id="72" w:name="_Toc530573338"/>
      <w:bookmarkStart w:id="73" w:name="_Toc57368583"/>
      <w:r w:rsidRPr="00A618BE">
        <w:t xml:space="preserve">Themes and </w:t>
      </w:r>
      <w:r w:rsidR="00B1653E">
        <w:t>i</w:t>
      </w:r>
      <w:r w:rsidRPr="00A618BE">
        <w:t>ssues</w:t>
      </w:r>
      <w:bookmarkEnd w:id="72"/>
      <w:bookmarkEnd w:id="73"/>
    </w:p>
    <w:p w14:paraId="22108605" w14:textId="15DEB752" w:rsidR="00581A5E" w:rsidRPr="00A618BE" w:rsidRDefault="00581A5E" w:rsidP="00D0581F">
      <w:r w:rsidRPr="00A618BE">
        <w:t xml:space="preserve">Drawing on the submissions and following an extensive literature review, the following themes and issues have been identified and explored in the </w:t>
      </w:r>
      <w:r w:rsidR="00B56730">
        <w:t>w</w:t>
      </w:r>
      <w:r w:rsidRPr="00A618BE">
        <w:t xml:space="preserve">hite </w:t>
      </w:r>
      <w:r w:rsidR="00B56730">
        <w:t>p</w:t>
      </w:r>
      <w:r w:rsidRPr="00A618BE">
        <w:t>aper:</w:t>
      </w:r>
    </w:p>
    <w:p w14:paraId="6EF23718" w14:textId="6229A21F" w:rsidR="00581A5E" w:rsidRPr="00A618BE" w:rsidRDefault="00440EFF" w:rsidP="00D0581F">
      <w:pPr>
        <w:pStyle w:val="ListParagraph"/>
        <w:numPr>
          <w:ilvl w:val="0"/>
          <w:numId w:val="41"/>
        </w:numPr>
        <w:spacing w:before="240" w:after="240"/>
      </w:pPr>
      <w:r>
        <w:t>t</w:t>
      </w:r>
      <w:r w:rsidR="00581A5E" w:rsidRPr="00A618BE">
        <w:t xml:space="preserve">he importance of a clear, targeted definition of </w:t>
      </w:r>
      <w:r w:rsidR="00B1653E">
        <w:t>r</w:t>
      </w:r>
      <w:r w:rsidR="00B1653E" w:rsidRPr="00A618BE">
        <w:t xml:space="preserve">eproductive </w:t>
      </w:r>
      <w:r w:rsidR="00B1653E">
        <w:t>c</w:t>
      </w:r>
      <w:r w:rsidR="00B1653E" w:rsidRPr="00A618BE">
        <w:t>oercion</w:t>
      </w:r>
    </w:p>
    <w:p w14:paraId="5D388648" w14:textId="528DD0C3" w:rsidR="00581A5E" w:rsidRPr="00A618BE" w:rsidRDefault="00D76477" w:rsidP="00D0581F">
      <w:pPr>
        <w:pStyle w:val="ListParagraph"/>
        <w:numPr>
          <w:ilvl w:val="0"/>
          <w:numId w:val="41"/>
        </w:numPr>
        <w:spacing w:before="240" w:after="240"/>
      </w:pPr>
      <w:r>
        <w:t>t</w:t>
      </w:r>
      <w:r w:rsidR="00581A5E" w:rsidRPr="00A618BE">
        <w:t xml:space="preserve">he need to explore how </w:t>
      </w:r>
      <w:r w:rsidR="00B1653E">
        <w:t>r</w:t>
      </w:r>
      <w:r w:rsidR="00B1653E" w:rsidRPr="00A618BE">
        <w:t xml:space="preserve">eproductive </w:t>
      </w:r>
      <w:r w:rsidR="00B1653E">
        <w:t>c</w:t>
      </w:r>
      <w:r w:rsidR="00B1653E" w:rsidRPr="00A618BE">
        <w:t>oercion</w:t>
      </w:r>
      <w:r w:rsidR="00A4111F">
        <w:t xml:space="preserve"> </w:t>
      </w:r>
      <w:r w:rsidR="00581A5E" w:rsidRPr="00A618BE">
        <w:t>intersects with FV, IPV and SV</w:t>
      </w:r>
      <w:r w:rsidR="00682207">
        <w:t>.</w:t>
      </w:r>
    </w:p>
    <w:p w14:paraId="5C846E04" w14:textId="30A0FDCD" w:rsidR="00581A5E" w:rsidRPr="00A618BE" w:rsidRDefault="00D76477" w:rsidP="00D0581F">
      <w:pPr>
        <w:pStyle w:val="ListParagraph"/>
        <w:numPr>
          <w:ilvl w:val="0"/>
          <w:numId w:val="41"/>
        </w:numPr>
        <w:spacing w:before="240" w:after="240"/>
      </w:pPr>
      <w:r>
        <w:t>t</w:t>
      </w:r>
      <w:r w:rsidR="00581A5E" w:rsidRPr="00A618BE">
        <w:t xml:space="preserve">he need to simultaneously address gender inequality </w:t>
      </w:r>
      <w:r w:rsidR="005A15A0">
        <w:t>as an underlying driver of</w:t>
      </w:r>
      <w:r w:rsidR="005A15A0" w:rsidRPr="00A618BE">
        <w:t xml:space="preserve"> </w:t>
      </w:r>
      <w:r w:rsidR="00B1653E">
        <w:t>r</w:t>
      </w:r>
      <w:r w:rsidR="00B1653E" w:rsidRPr="00A618BE">
        <w:t xml:space="preserve">eproductive </w:t>
      </w:r>
      <w:r w:rsidR="00B1653E">
        <w:t>c</w:t>
      </w:r>
      <w:r w:rsidR="00B1653E" w:rsidRPr="00A618BE">
        <w:t>oercion</w:t>
      </w:r>
    </w:p>
    <w:p w14:paraId="5F7D84F0" w14:textId="0A1A5E51" w:rsidR="00581A5E" w:rsidRPr="00A618BE" w:rsidRDefault="00D76477" w:rsidP="00D0581F">
      <w:pPr>
        <w:pStyle w:val="ListParagraph"/>
        <w:numPr>
          <w:ilvl w:val="0"/>
          <w:numId w:val="41"/>
        </w:numPr>
        <w:spacing w:before="240" w:after="240"/>
      </w:pPr>
      <w:r>
        <w:t>t</w:t>
      </w:r>
      <w:r w:rsidR="00581A5E" w:rsidRPr="00A618BE">
        <w:t xml:space="preserve">he importance of contextualising </w:t>
      </w:r>
      <w:r w:rsidR="00B1653E">
        <w:t>r</w:t>
      </w:r>
      <w:r w:rsidR="00B1653E" w:rsidRPr="00A618BE">
        <w:t xml:space="preserve">eproductive </w:t>
      </w:r>
      <w:r w:rsidR="00B1653E">
        <w:t>c</w:t>
      </w:r>
      <w:r w:rsidR="00B1653E" w:rsidRPr="00A618BE">
        <w:t>oercion</w:t>
      </w:r>
      <w:r w:rsidR="00B1653E">
        <w:t xml:space="preserve"> </w:t>
      </w:r>
      <w:r w:rsidR="00581A5E" w:rsidRPr="00A618BE">
        <w:t xml:space="preserve">across multiple communities: </w:t>
      </w:r>
      <w:r w:rsidR="005A15A0">
        <w:t>young people</w:t>
      </w:r>
      <w:r w:rsidR="00581A5E" w:rsidRPr="00A618BE">
        <w:t>, Aboriginal and Torres Strait Islander</w:t>
      </w:r>
      <w:r w:rsidR="009E1676">
        <w:t xml:space="preserve"> communities</w:t>
      </w:r>
      <w:r w:rsidR="00581A5E" w:rsidRPr="00A618BE">
        <w:t>, culturally and linguistically diverse communities, people living with a disability and men</w:t>
      </w:r>
    </w:p>
    <w:p w14:paraId="6D61E432" w14:textId="75243BE3" w:rsidR="00581A5E" w:rsidRPr="00A618BE" w:rsidRDefault="00D76477" w:rsidP="00D0581F">
      <w:pPr>
        <w:pStyle w:val="ListParagraph"/>
        <w:numPr>
          <w:ilvl w:val="0"/>
          <w:numId w:val="41"/>
        </w:numPr>
        <w:spacing w:before="240" w:after="240"/>
      </w:pPr>
      <w:r>
        <w:t>t</w:t>
      </w:r>
      <w:r w:rsidR="00581A5E" w:rsidRPr="00A618BE">
        <w:t xml:space="preserve">he health impacts of </w:t>
      </w:r>
      <w:r w:rsidR="00B1653E">
        <w:t>r</w:t>
      </w:r>
      <w:r w:rsidR="00B1653E" w:rsidRPr="00A618BE">
        <w:t xml:space="preserve">eproductive </w:t>
      </w:r>
      <w:r w:rsidR="00B1653E">
        <w:t>coercion</w:t>
      </w:r>
      <w:r w:rsidR="00581A5E" w:rsidRPr="00A618BE">
        <w:t>, including mental health, sexual and reproductive health, maternal and child health and homicide</w:t>
      </w:r>
    </w:p>
    <w:p w14:paraId="5F7C396A" w14:textId="5E4025D6" w:rsidR="00581A5E" w:rsidRPr="00A618BE" w:rsidRDefault="00D76477" w:rsidP="00D0581F">
      <w:pPr>
        <w:pStyle w:val="ListParagraph"/>
        <w:numPr>
          <w:ilvl w:val="0"/>
          <w:numId w:val="41"/>
        </w:numPr>
        <w:spacing w:before="240" w:after="240"/>
      </w:pPr>
      <w:r>
        <w:t>t</w:t>
      </w:r>
      <w:r w:rsidR="00581A5E" w:rsidRPr="00A618BE">
        <w:t xml:space="preserve">he role of healthcare professionals in addressing </w:t>
      </w:r>
      <w:r w:rsidR="00B1653E">
        <w:t>r</w:t>
      </w:r>
      <w:r w:rsidR="00B1653E" w:rsidRPr="00A618BE">
        <w:t xml:space="preserve">eproductive </w:t>
      </w:r>
      <w:r w:rsidR="00B1653E">
        <w:t>c</w:t>
      </w:r>
      <w:r w:rsidR="00B1653E" w:rsidRPr="00A618BE">
        <w:t>oercion</w:t>
      </w:r>
      <w:r w:rsidR="00581A5E" w:rsidRPr="00A618BE">
        <w:t xml:space="preserve">, including current support structures and tools, international </w:t>
      </w:r>
      <w:proofErr w:type="gramStart"/>
      <w:r w:rsidR="00581A5E" w:rsidRPr="00A618BE">
        <w:t>practices</w:t>
      </w:r>
      <w:proofErr w:type="gramEnd"/>
      <w:r w:rsidR="00581A5E" w:rsidRPr="00A618BE">
        <w:t xml:space="preserve"> and examples of best practice</w:t>
      </w:r>
    </w:p>
    <w:p w14:paraId="3BB37D09" w14:textId="2517F5E7" w:rsidR="00581A5E" w:rsidRPr="00A618BE" w:rsidRDefault="00D76477" w:rsidP="00D0581F">
      <w:pPr>
        <w:pStyle w:val="ListParagraph"/>
        <w:numPr>
          <w:ilvl w:val="0"/>
          <w:numId w:val="41"/>
        </w:numPr>
        <w:spacing w:before="240" w:after="240"/>
      </w:pPr>
      <w:r>
        <w:t>t</w:t>
      </w:r>
      <w:r w:rsidR="00581A5E" w:rsidRPr="00A618BE">
        <w:t xml:space="preserve">he structural drivers of </w:t>
      </w:r>
      <w:r w:rsidR="00B1653E">
        <w:t>r</w:t>
      </w:r>
      <w:r w:rsidR="00B1653E" w:rsidRPr="00A618BE">
        <w:t xml:space="preserve">eproductive </w:t>
      </w:r>
      <w:r w:rsidR="00B1653E">
        <w:t>c</w:t>
      </w:r>
      <w:r w:rsidR="00B1653E" w:rsidRPr="00A618BE">
        <w:t>oercion</w:t>
      </w:r>
      <w:r w:rsidR="00581A5E" w:rsidRPr="00A618BE">
        <w:t xml:space="preserve">, including social, cultural, </w:t>
      </w:r>
      <w:proofErr w:type="gramStart"/>
      <w:r w:rsidR="00581A5E" w:rsidRPr="00A618BE">
        <w:t>political</w:t>
      </w:r>
      <w:proofErr w:type="gramEnd"/>
      <w:r w:rsidR="00581A5E" w:rsidRPr="00A618BE">
        <w:t xml:space="preserve"> and economi</w:t>
      </w:r>
      <w:r>
        <w:t>c</w:t>
      </w:r>
    </w:p>
    <w:p w14:paraId="6FD0A0D4" w14:textId="7B87B0FA" w:rsidR="00581A5E" w:rsidRPr="00A618BE" w:rsidRDefault="00D76477" w:rsidP="00D0581F">
      <w:pPr>
        <w:pStyle w:val="ListParagraph"/>
        <w:numPr>
          <w:ilvl w:val="0"/>
          <w:numId w:val="41"/>
        </w:numPr>
        <w:spacing w:before="240" w:after="240"/>
      </w:pPr>
      <w:r>
        <w:t>t</w:t>
      </w:r>
      <w:r w:rsidR="00581A5E" w:rsidRPr="00A618BE">
        <w:t>he law</w:t>
      </w:r>
      <w:r w:rsidR="005A15A0">
        <w:t>, in particular family violence law,</w:t>
      </w:r>
      <w:r w:rsidR="00581A5E" w:rsidRPr="00A618BE">
        <w:t xml:space="preserve"> as it currently relates to </w:t>
      </w:r>
      <w:r w:rsidR="00B1653E">
        <w:t>r</w:t>
      </w:r>
      <w:r w:rsidR="00B1653E" w:rsidRPr="00A618BE">
        <w:t xml:space="preserve">eproductive </w:t>
      </w:r>
      <w:r w:rsidR="00B1653E">
        <w:t>c</w:t>
      </w:r>
      <w:r w:rsidR="00B1653E" w:rsidRPr="00A618BE">
        <w:t>oercion</w:t>
      </w:r>
      <w:r w:rsidR="00E21BA8">
        <w:t>.</w:t>
      </w:r>
    </w:p>
    <w:p w14:paraId="31B6C7B3" w14:textId="14E42292" w:rsidR="00581A5E" w:rsidRPr="00A618BE" w:rsidRDefault="008337A7" w:rsidP="00D0581F">
      <w:pPr>
        <w:pStyle w:val="Heading2"/>
      </w:pPr>
      <w:bookmarkStart w:id="74" w:name="_Toc530573339"/>
      <w:bookmarkStart w:id="75" w:name="_Toc57368584"/>
      <w:r>
        <w:t>Health</w:t>
      </w:r>
      <w:r w:rsidR="00B1653E">
        <w:t xml:space="preserve"> sector r</w:t>
      </w:r>
      <w:r w:rsidR="00581A5E" w:rsidRPr="00A618BE">
        <w:t>ecommendations</w:t>
      </w:r>
      <w:bookmarkEnd w:id="74"/>
      <w:r w:rsidR="00FF5780">
        <w:t xml:space="preserve"> and progress</w:t>
      </w:r>
      <w:bookmarkEnd w:id="75"/>
    </w:p>
    <w:p w14:paraId="4C17DA0B" w14:textId="4F4F06CC" w:rsidR="00581A5E" w:rsidRPr="00A618BE" w:rsidRDefault="00581A5E" w:rsidP="00D0581F">
      <w:proofErr w:type="gramStart"/>
      <w:r w:rsidRPr="00A618BE">
        <w:t>In order to</w:t>
      </w:r>
      <w:proofErr w:type="gramEnd"/>
      <w:r w:rsidRPr="00A618BE">
        <w:t xml:space="preserve"> address </w:t>
      </w:r>
      <w:r w:rsidR="00B1653E">
        <w:t>r</w:t>
      </w:r>
      <w:r w:rsidR="00B1653E" w:rsidRPr="00A618BE">
        <w:t xml:space="preserve">eproductive </w:t>
      </w:r>
      <w:r w:rsidR="00B1653E">
        <w:t>c</w:t>
      </w:r>
      <w:r w:rsidR="00B1653E" w:rsidRPr="00A618BE">
        <w:t>oercion</w:t>
      </w:r>
      <w:r w:rsidR="00B1653E">
        <w:t xml:space="preserve"> </w:t>
      </w:r>
      <w:r w:rsidRPr="00A618BE">
        <w:t xml:space="preserve">on a national level the following recommendations are proposed based on the submissions received and available literature: </w:t>
      </w:r>
    </w:p>
    <w:p w14:paraId="4A14C4CB" w14:textId="25C4917C" w:rsidR="00581A5E" w:rsidRDefault="00581A5E" w:rsidP="00D0581F">
      <w:pPr>
        <w:pStyle w:val="ListParagraph"/>
        <w:numPr>
          <w:ilvl w:val="0"/>
          <w:numId w:val="42"/>
        </w:numPr>
        <w:spacing w:before="240" w:after="240"/>
      </w:pPr>
      <w:r w:rsidRPr="00CB1B84">
        <w:rPr>
          <w:b/>
        </w:rPr>
        <w:t>Recommendation 1:</w:t>
      </w:r>
      <w:r w:rsidRPr="00A618BE">
        <w:t xml:space="preserve"> Develop a qualitative research base to understand diverse lived experiences of </w:t>
      </w:r>
      <w:r w:rsidR="00B1653E">
        <w:t>r</w:t>
      </w:r>
      <w:r w:rsidR="00B1653E" w:rsidRPr="00A618BE">
        <w:t xml:space="preserve">eproductive </w:t>
      </w:r>
      <w:r w:rsidR="00B1653E">
        <w:t>c</w:t>
      </w:r>
      <w:r w:rsidR="00B1653E" w:rsidRPr="00A618BE">
        <w:t>oercion</w:t>
      </w:r>
      <w:r w:rsidRPr="00A618BE">
        <w:t>.</w:t>
      </w:r>
      <w:r w:rsidR="00FF5780">
        <w:t xml:space="preserve"> This recommendation is partially met, some research has begun yet extensive qualitative research will require cross-sector investment and resourcing.</w:t>
      </w:r>
    </w:p>
    <w:p w14:paraId="19CE6FB2" w14:textId="17078863" w:rsidR="00E21BA8" w:rsidRDefault="00581A5E" w:rsidP="00D0581F">
      <w:pPr>
        <w:pStyle w:val="ListParagraph"/>
        <w:numPr>
          <w:ilvl w:val="0"/>
          <w:numId w:val="42"/>
        </w:numPr>
        <w:spacing w:before="240" w:after="240"/>
      </w:pPr>
      <w:r w:rsidRPr="00CB1B84">
        <w:rPr>
          <w:b/>
        </w:rPr>
        <w:t>Recommendation 2:</w:t>
      </w:r>
      <w:r>
        <w:t xml:space="preserve"> Include </w:t>
      </w:r>
      <w:r w:rsidR="00B1653E">
        <w:t>r</w:t>
      </w:r>
      <w:r w:rsidR="00B1653E" w:rsidRPr="00A618BE">
        <w:t xml:space="preserve">eproductive </w:t>
      </w:r>
      <w:r w:rsidR="00B1653E">
        <w:t>c</w:t>
      </w:r>
      <w:r w:rsidR="00B1653E" w:rsidRPr="00A618BE">
        <w:t>oercion</w:t>
      </w:r>
      <w:r w:rsidR="00B1653E">
        <w:t xml:space="preserve"> </w:t>
      </w:r>
      <w:r>
        <w:t>questions as part of the A</w:t>
      </w:r>
      <w:r w:rsidR="00E21BA8">
        <w:t xml:space="preserve">ustralian </w:t>
      </w:r>
      <w:r>
        <w:t>B</w:t>
      </w:r>
      <w:r w:rsidR="00E21BA8">
        <w:t xml:space="preserve">ureau of </w:t>
      </w:r>
      <w:r>
        <w:t>S</w:t>
      </w:r>
      <w:r w:rsidR="00E21BA8">
        <w:t>tatistics (ABS)</w:t>
      </w:r>
      <w:r>
        <w:t xml:space="preserve"> Personal Safety Survey to gain an understanding of prevalence.</w:t>
      </w:r>
      <w:r w:rsidR="00FF5780">
        <w:t xml:space="preserve"> This recommendation has not been met, despite advocacy from multiple organisations.</w:t>
      </w:r>
    </w:p>
    <w:p w14:paraId="69868785" w14:textId="3E082DDB" w:rsidR="00581A5E" w:rsidRDefault="00E21BA8" w:rsidP="00E21BA8">
      <w:pPr>
        <w:spacing w:after="160" w:line="259" w:lineRule="auto"/>
      </w:pPr>
      <w:r>
        <w:br w:type="page"/>
      </w:r>
    </w:p>
    <w:p w14:paraId="1F9FD23D" w14:textId="51F27EAB" w:rsidR="00581A5E" w:rsidRDefault="00581A5E" w:rsidP="00D0581F">
      <w:pPr>
        <w:pStyle w:val="ListParagraph"/>
        <w:numPr>
          <w:ilvl w:val="0"/>
          <w:numId w:val="42"/>
        </w:numPr>
        <w:spacing w:before="240" w:after="240"/>
      </w:pPr>
      <w:r w:rsidRPr="00CB1B84">
        <w:rPr>
          <w:b/>
        </w:rPr>
        <w:lastRenderedPageBreak/>
        <w:t>Recommendation 3:</w:t>
      </w:r>
      <w:r>
        <w:t xml:space="preserve"> Develop a national data set for induced abortions through review of the </w:t>
      </w:r>
      <w:r w:rsidR="00B1653E">
        <w:t>World Health Organisation’s</w:t>
      </w:r>
      <w:r w:rsidR="00D76477">
        <w:t xml:space="preserve"> (WHO)</w:t>
      </w:r>
      <w:r w:rsidR="00B1653E">
        <w:t xml:space="preserve"> </w:t>
      </w:r>
      <w:r w:rsidR="00B1653E" w:rsidRPr="00A618BE">
        <w:t>International Classification of Diseases</w:t>
      </w:r>
      <w:r w:rsidR="00B1653E">
        <w:t xml:space="preserve"> </w:t>
      </w:r>
      <w:r w:rsidR="009E1676">
        <w:t xml:space="preserve">(ICD) </w:t>
      </w:r>
      <w:r>
        <w:t xml:space="preserve">coding. </w:t>
      </w:r>
      <w:r w:rsidR="00FF5780">
        <w:t xml:space="preserve">This recommendation has not been </w:t>
      </w:r>
      <w:proofErr w:type="gramStart"/>
      <w:r w:rsidR="00FF5780">
        <w:t>met,</w:t>
      </w:r>
      <w:proofErr w:type="gramEnd"/>
      <w:r w:rsidR="00FF5780">
        <w:t xml:space="preserve"> ICD-12 development process is yet to begin.</w:t>
      </w:r>
    </w:p>
    <w:p w14:paraId="51512814" w14:textId="7DE3AE6E" w:rsidR="00581A5E" w:rsidRPr="00A618BE" w:rsidRDefault="00581A5E" w:rsidP="00D0581F">
      <w:pPr>
        <w:pStyle w:val="ListParagraph"/>
        <w:numPr>
          <w:ilvl w:val="0"/>
          <w:numId w:val="42"/>
        </w:numPr>
        <w:spacing w:before="240" w:after="240"/>
      </w:pPr>
      <w:r w:rsidRPr="00CB1B84">
        <w:rPr>
          <w:b/>
        </w:rPr>
        <w:t>Recommendation 4:</w:t>
      </w:r>
      <w:r w:rsidRPr="00A618BE">
        <w:t xml:space="preserve"> Explore the concept of </w:t>
      </w:r>
      <w:r w:rsidR="00B1653E">
        <w:t>r</w:t>
      </w:r>
      <w:r w:rsidR="00B1653E" w:rsidRPr="00A618BE">
        <w:t xml:space="preserve">eproductive </w:t>
      </w:r>
      <w:r w:rsidR="00B1653E">
        <w:t>c</w:t>
      </w:r>
      <w:r w:rsidR="00B1653E" w:rsidRPr="00A618BE">
        <w:t>oercion</w:t>
      </w:r>
      <w:r w:rsidR="00B1653E">
        <w:t xml:space="preserve"> </w:t>
      </w:r>
      <w:r w:rsidRPr="00A618BE">
        <w:t>as an early warning indicator of escalation of IPV.</w:t>
      </w:r>
      <w:r w:rsidR="00FF5780">
        <w:t xml:space="preserve"> This recommendation is partially met, some research has begun yet extensive qualitative research will require cross-sector investment and resourcing.</w:t>
      </w:r>
    </w:p>
    <w:p w14:paraId="317B70C4" w14:textId="22A7BDE4" w:rsidR="00581A5E" w:rsidRPr="00A618BE" w:rsidRDefault="00581A5E" w:rsidP="00D0581F">
      <w:pPr>
        <w:pStyle w:val="ListParagraph"/>
        <w:numPr>
          <w:ilvl w:val="0"/>
          <w:numId w:val="42"/>
        </w:numPr>
        <w:spacing w:before="240" w:after="240"/>
      </w:pPr>
      <w:r w:rsidRPr="00CB1B84">
        <w:rPr>
          <w:b/>
        </w:rPr>
        <w:t>Recommendation 5:</w:t>
      </w:r>
      <w:r w:rsidRPr="00A618BE">
        <w:t xml:space="preserve"> Embed </w:t>
      </w:r>
      <w:r w:rsidR="00B1653E">
        <w:t>r</w:t>
      </w:r>
      <w:r w:rsidR="00B1653E" w:rsidRPr="00A618BE">
        <w:t xml:space="preserve">eproductive </w:t>
      </w:r>
      <w:r w:rsidR="00B1653E">
        <w:t>c</w:t>
      </w:r>
      <w:r w:rsidR="00B1653E" w:rsidRPr="00A618BE">
        <w:t>oercion</w:t>
      </w:r>
      <w:r w:rsidR="00B1653E">
        <w:t xml:space="preserve"> </w:t>
      </w:r>
      <w:r w:rsidRPr="00A618BE">
        <w:t>in existing and new policies and plans responding to FV, IPV and SV.</w:t>
      </w:r>
      <w:r w:rsidR="00FF5780">
        <w:t xml:space="preserve"> This recommendation has been partially met. Reproductive coercion is embedded in the Australian Women’s Health Strategy (2020-2030).</w:t>
      </w:r>
      <w:r w:rsidR="00F02FFF">
        <w:t xml:space="preserve"> Forced sterilisation is mentioned in the Fourth Action Plan of the first National Plan to Reduce Violence Against Women and their Children.</w:t>
      </w:r>
      <w:r w:rsidR="00FF5780">
        <w:t xml:space="preserve"> Importantly, there has </w:t>
      </w:r>
      <w:r w:rsidR="00F02FFF">
        <w:t>been no indication of if or how reproductive coercion</w:t>
      </w:r>
      <w:r w:rsidR="00FF5780">
        <w:t xml:space="preserve"> will be included in the Second National Plan to </w:t>
      </w:r>
      <w:r w:rsidR="00164776">
        <w:t>Reduce</w:t>
      </w:r>
      <w:r w:rsidR="00FF5780">
        <w:t xml:space="preserve"> Violence Against Women and their Children which is currently in development.</w:t>
      </w:r>
    </w:p>
    <w:p w14:paraId="67A1DF73" w14:textId="182CA2BB" w:rsidR="00581A5E" w:rsidRPr="00A618BE" w:rsidRDefault="00581A5E" w:rsidP="00D0581F">
      <w:pPr>
        <w:pStyle w:val="ListParagraph"/>
        <w:numPr>
          <w:ilvl w:val="0"/>
          <w:numId w:val="42"/>
        </w:numPr>
        <w:spacing w:before="240" w:after="240"/>
      </w:pPr>
      <w:r w:rsidRPr="00CB1B84">
        <w:rPr>
          <w:b/>
        </w:rPr>
        <w:t>Recommendation 6:</w:t>
      </w:r>
      <w:r w:rsidRPr="00A618BE">
        <w:t xml:space="preserve"> Develop a national Sexual and Reproductive Health and Rights Strategy that addresses interpersonal and structural drivers of </w:t>
      </w:r>
      <w:r w:rsidR="00B1653E">
        <w:t>r</w:t>
      </w:r>
      <w:r w:rsidR="00B1653E" w:rsidRPr="00A618BE">
        <w:t xml:space="preserve">eproductive </w:t>
      </w:r>
      <w:r w:rsidR="00B1653E">
        <w:t>c</w:t>
      </w:r>
      <w:r w:rsidR="00B1653E" w:rsidRPr="00A618BE">
        <w:t>oercion</w:t>
      </w:r>
      <w:r w:rsidRPr="00A618BE">
        <w:t>.</w:t>
      </w:r>
      <w:r w:rsidR="00FF5780">
        <w:t xml:space="preserve"> This recommendation has been not been met. Australia still needs a </w:t>
      </w:r>
      <w:r w:rsidR="00FF5780" w:rsidRPr="00A618BE">
        <w:t>Sexual and Reproductive Health</w:t>
      </w:r>
      <w:r w:rsidR="00FF5780">
        <w:t xml:space="preserve"> Strategy.</w:t>
      </w:r>
    </w:p>
    <w:p w14:paraId="48062D39" w14:textId="036B9DAE" w:rsidR="00581A5E" w:rsidRDefault="00581A5E" w:rsidP="00D0581F">
      <w:pPr>
        <w:pStyle w:val="ListParagraph"/>
        <w:numPr>
          <w:ilvl w:val="0"/>
          <w:numId w:val="42"/>
        </w:numPr>
        <w:spacing w:before="240" w:after="240"/>
      </w:pPr>
      <w:r w:rsidRPr="00CB1B84">
        <w:rPr>
          <w:b/>
        </w:rPr>
        <w:t>Recommendation 7:</w:t>
      </w:r>
      <w:r w:rsidRPr="00A618BE">
        <w:t xml:space="preserve"> Develop a national healthcare professional training program to address </w:t>
      </w:r>
      <w:r w:rsidR="00B1653E">
        <w:t>r</w:t>
      </w:r>
      <w:r w:rsidR="00B1653E" w:rsidRPr="00A618BE">
        <w:t xml:space="preserve">eproductive </w:t>
      </w:r>
      <w:r w:rsidR="00B1653E">
        <w:t>c</w:t>
      </w:r>
      <w:r w:rsidR="00B1653E" w:rsidRPr="00A618BE">
        <w:t>oercion</w:t>
      </w:r>
      <w:r w:rsidR="00B1653E">
        <w:t xml:space="preserve"> </w:t>
      </w:r>
      <w:r w:rsidRPr="00A618BE">
        <w:t xml:space="preserve">in varied healthcare settings. </w:t>
      </w:r>
      <w:r w:rsidR="00FF5780">
        <w:t xml:space="preserve">This recommendation has been </w:t>
      </w:r>
      <w:r w:rsidR="009E220B">
        <w:t>partially met</w:t>
      </w:r>
      <w:r w:rsidR="00FF5780">
        <w:t xml:space="preserve">. </w:t>
      </w:r>
      <w:r w:rsidR="00BF51F5">
        <w:t>Some online training options offer national access but are tailored to specific jurisdictions or aspects of reproductive coercion.</w:t>
      </w:r>
      <w:r w:rsidR="00524613">
        <w:t xml:space="preserve"> </w:t>
      </w:r>
      <w:r w:rsidR="00BF51F5">
        <w:t>A comprehensive r</w:t>
      </w:r>
      <w:r w:rsidR="00524613">
        <w:t>eproductive coercion</w:t>
      </w:r>
      <w:r w:rsidR="009E220B">
        <w:t xml:space="preserve"> training</w:t>
      </w:r>
      <w:r w:rsidR="00BF51F5">
        <w:t xml:space="preserve"> program</w:t>
      </w:r>
      <w:r w:rsidR="009E220B">
        <w:t xml:space="preserve"> for healthcare professionals</w:t>
      </w:r>
      <w:r w:rsidR="00524613">
        <w:t xml:space="preserve"> </w:t>
      </w:r>
      <w:r w:rsidR="009E220B">
        <w:t xml:space="preserve">is </w:t>
      </w:r>
      <w:r w:rsidR="00BF51F5">
        <w:t>not yet available at the national level.</w:t>
      </w:r>
    </w:p>
    <w:p w14:paraId="295E4FDA" w14:textId="77777777" w:rsidR="00E21BA8" w:rsidRDefault="00E21BA8">
      <w:pPr>
        <w:spacing w:after="160" w:line="259" w:lineRule="auto"/>
        <w:rPr>
          <w:rFonts w:eastAsiaTheme="majorEastAsia" w:cs="Arial"/>
          <w:b/>
          <w:sz w:val="32"/>
          <w:szCs w:val="32"/>
        </w:rPr>
      </w:pPr>
      <w:r>
        <w:br w:type="page"/>
      </w:r>
    </w:p>
    <w:p w14:paraId="3001B382" w14:textId="170802C0" w:rsidR="00581A5E" w:rsidRDefault="00B1653E" w:rsidP="00D0581F">
      <w:pPr>
        <w:pStyle w:val="Heading2"/>
      </w:pPr>
      <w:bookmarkStart w:id="76" w:name="_Toc57368585"/>
      <w:r>
        <w:lastRenderedPageBreak/>
        <w:t>Marie Stopes Australia commitments</w:t>
      </w:r>
      <w:r w:rsidR="00FF5780">
        <w:t xml:space="preserve"> and progress.</w:t>
      </w:r>
      <w:bookmarkEnd w:id="76"/>
    </w:p>
    <w:p w14:paraId="4C5046DC" w14:textId="46A9B3DB" w:rsidR="00581A5E" w:rsidRDefault="00581A5E" w:rsidP="00D0581F">
      <w:r>
        <w:t xml:space="preserve">Marie Stopes Australia has also made </w:t>
      </w:r>
      <w:proofErr w:type="gramStart"/>
      <w:r>
        <w:t>a number of</w:t>
      </w:r>
      <w:proofErr w:type="gramEnd"/>
      <w:r>
        <w:t xml:space="preserve"> key</w:t>
      </w:r>
      <w:r w:rsidR="00B1653E">
        <w:t xml:space="preserve"> internal</w:t>
      </w:r>
      <w:r>
        <w:t xml:space="preserve"> commitments to address the issue of </w:t>
      </w:r>
      <w:r w:rsidR="00B1653E">
        <w:t>r</w:t>
      </w:r>
      <w:r w:rsidR="00B1653E" w:rsidRPr="00A618BE">
        <w:t xml:space="preserve">eproductive </w:t>
      </w:r>
      <w:r w:rsidR="00B1653E">
        <w:t>c</w:t>
      </w:r>
      <w:r w:rsidR="00B1653E" w:rsidRPr="00A618BE">
        <w:t>oercion</w:t>
      </w:r>
      <w:r>
        <w:t>. These commitments are:</w:t>
      </w:r>
    </w:p>
    <w:p w14:paraId="3EBB4E72" w14:textId="7765AD13" w:rsidR="00581A5E" w:rsidRDefault="00581A5E" w:rsidP="00D0581F">
      <w:pPr>
        <w:pStyle w:val="ListParagraph"/>
        <w:numPr>
          <w:ilvl w:val="0"/>
          <w:numId w:val="44"/>
        </w:numPr>
        <w:spacing w:before="240" w:after="240"/>
      </w:pPr>
      <w:r w:rsidRPr="00CB1B84">
        <w:rPr>
          <w:b/>
        </w:rPr>
        <w:t>Commitment 1:</w:t>
      </w:r>
      <w:r>
        <w:t xml:space="preserve"> Implement internal processes and practices to better support people experiencing </w:t>
      </w:r>
      <w:r w:rsidR="00B1653E">
        <w:t>r</w:t>
      </w:r>
      <w:r w:rsidR="00B1653E" w:rsidRPr="00A618BE">
        <w:t xml:space="preserve">eproductive </w:t>
      </w:r>
      <w:r w:rsidR="00B1653E">
        <w:t>c</w:t>
      </w:r>
      <w:r w:rsidR="00B1653E" w:rsidRPr="00A618BE">
        <w:t>oercion</w:t>
      </w:r>
      <w:r w:rsidR="00B1653E">
        <w:t xml:space="preserve"> </w:t>
      </w:r>
      <w:r>
        <w:t xml:space="preserve">that </w:t>
      </w:r>
      <w:proofErr w:type="gramStart"/>
      <w:r>
        <w:t>come into contact with</w:t>
      </w:r>
      <w:proofErr w:type="gramEnd"/>
      <w:r>
        <w:t xml:space="preserve"> our services.</w:t>
      </w:r>
      <w:r w:rsidR="00FF5780">
        <w:t xml:space="preserve"> This commitment is met, though improvements will be ongoing and continuous.</w:t>
      </w:r>
    </w:p>
    <w:p w14:paraId="32BD542A" w14:textId="12ADADE9" w:rsidR="00581A5E" w:rsidRDefault="00581A5E" w:rsidP="00D0581F">
      <w:pPr>
        <w:pStyle w:val="ListParagraph"/>
        <w:numPr>
          <w:ilvl w:val="0"/>
          <w:numId w:val="44"/>
        </w:numPr>
        <w:spacing w:before="240" w:after="240"/>
      </w:pPr>
      <w:r w:rsidRPr="00CB1B84">
        <w:rPr>
          <w:b/>
        </w:rPr>
        <w:t>Commitment 2:</w:t>
      </w:r>
      <w:r>
        <w:t xml:space="preserve"> Engage in further research as part of a collaborative effort to progress understanding of the prevalence, lived experiences of and most appropriate responses to </w:t>
      </w:r>
      <w:r w:rsidR="00B1653E">
        <w:t>r</w:t>
      </w:r>
      <w:r w:rsidR="00B1653E" w:rsidRPr="00A618BE">
        <w:t xml:space="preserve">eproductive </w:t>
      </w:r>
      <w:r w:rsidR="00B1653E">
        <w:t>c</w:t>
      </w:r>
      <w:r w:rsidR="00B1653E" w:rsidRPr="00A618BE">
        <w:t>oercion</w:t>
      </w:r>
      <w:r>
        <w:t>.</w:t>
      </w:r>
      <w:r w:rsidR="00FF5780">
        <w:t xml:space="preserve"> This commitment is partially met, research partnerships</w:t>
      </w:r>
      <w:r w:rsidR="008567C2">
        <w:t xml:space="preserve"> have been</w:t>
      </w:r>
      <w:r w:rsidR="00FF5780">
        <w:t xml:space="preserve"> established and data analysis</w:t>
      </w:r>
      <w:r w:rsidR="008567C2">
        <w:t xml:space="preserve"> is</w:t>
      </w:r>
      <w:r w:rsidR="00FF5780">
        <w:t xml:space="preserve"> in progress.</w:t>
      </w:r>
    </w:p>
    <w:p w14:paraId="2452A68D" w14:textId="5F6E1486" w:rsidR="00581A5E" w:rsidRDefault="00581A5E" w:rsidP="00D0581F">
      <w:pPr>
        <w:pStyle w:val="ListParagraph"/>
        <w:numPr>
          <w:ilvl w:val="0"/>
          <w:numId w:val="44"/>
        </w:numPr>
        <w:spacing w:before="240" w:after="240"/>
      </w:pPr>
      <w:r w:rsidRPr="00CB1B84">
        <w:rPr>
          <w:b/>
        </w:rPr>
        <w:t>Commitment 3:</w:t>
      </w:r>
      <w:r>
        <w:t xml:space="preserve"> Continue to engage in advocacy work that aims to reform and expand sexual and reproductive health rights and services to all Australians.</w:t>
      </w:r>
      <w:r w:rsidR="00FF5780">
        <w:t xml:space="preserve"> This commitment is ongoing as much advocacy action remains.</w:t>
      </w:r>
    </w:p>
    <w:p w14:paraId="11CC3A27" w14:textId="4584F745" w:rsidR="00581A5E" w:rsidRDefault="00581A5E" w:rsidP="00D0581F">
      <w:pPr>
        <w:pStyle w:val="ListParagraph"/>
        <w:numPr>
          <w:ilvl w:val="0"/>
          <w:numId w:val="44"/>
        </w:numPr>
        <w:spacing w:before="240" w:after="240"/>
      </w:pPr>
      <w:r w:rsidRPr="00CB1B84">
        <w:rPr>
          <w:b/>
        </w:rPr>
        <w:t>Commitment 4:</w:t>
      </w:r>
      <w:r>
        <w:t xml:space="preserve"> Lead the application to the </w:t>
      </w:r>
      <w:r w:rsidR="00D76477">
        <w:t>WHO</w:t>
      </w:r>
      <w:r>
        <w:t xml:space="preserve"> to amend </w:t>
      </w:r>
      <w:r w:rsidR="009E1676">
        <w:t>ICD</w:t>
      </w:r>
      <w:r>
        <w:t xml:space="preserve"> coding to ensure more accurate data capture for abortion care in Australia and across the globe. </w:t>
      </w:r>
      <w:r w:rsidR="00FF5780">
        <w:t xml:space="preserve">This commitment has not been </w:t>
      </w:r>
      <w:r w:rsidR="00E21BA8">
        <w:t>met;</w:t>
      </w:r>
      <w:r w:rsidR="00FF5780">
        <w:t xml:space="preserve"> ICD-12 consultation process is yet to begin.</w:t>
      </w:r>
    </w:p>
    <w:p w14:paraId="6C51CC12" w14:textId="5091E09C" w:rsidR="00581A5E" w:rsidRPr="00C51A4A" w:rsidRDefault="00581A5E" w:rsidP="00D0581F">
      <w:pPr>
        <w:pStyle w:val="ListParagraph"/>
        <w:numPr>
          <w:ilvl w:val="0"/>
          <w:numId w:val="44"/>
        </w:numPr>
        <w:spacing w:before="240" w:after="240"/>
      </w:pPr>
      <w:r w:rsidRPr="00CB1B84">
        <w:rPr>
          <w:b/>
        </w:rPr>
        <w:t>Commitment 5:</w:t>
      </w:r>
      <w:r>
        <w:t xml:space="preserve"> Continue to foster an internal workplace culture that is responsive to FV, IPV, SV and </w:t>
      </w:r>
      <w:r w:rsidR="00B1653E">
        <w:t>r</w:t>
      </w:r>
      <w:r w:rsidR="00B1653E" w:rsidRPr="00A618BE">
        <w:t xml:space="preserve">eproductive </w:t>
      </w:r>
      <w:r w:rsidR="00B1653E">
        <w:t>c</w:t>
      </w:r>
      <w:r w:rsidR="00B1653E" w:rsidRPr="00A618BE">
        <w:t>oercion</w:t>
      </w:r>
      <w:r w:rsidR="00A4111F">
        <w:t xml:space="preserve"> </w:t>
      </w:r>
      <w:r>
        <w:t xml:space="preserve">by providing staff with up to 10 pays paid FV leave each year. </w:t>
      </w:r>
      <w:r w:rsidR="00FF5780">
        <w:t>This commitment has been met.</w:t>
      </w:r>
      <w:r>
        <w:br w:type="page"/>
      </w:r>
    </w:p>
    <w:p w14:paraId="190EB006" w14:textId="07629725" w:rsidR="00581A5E" w:rsidRPr="00A618BE" w:rsidRDefault="003A783B" w:rsidP="00D0581F">
      <w:pPr>
        <w:pStyle w:val="Heading1"/>
        <w:spacing w:line="276" w:lineRule="auto"/>
      </w:pPr>
      <w:bookmarkStart w:id="77" w:name="_Toc57368586"/>
      <w:r>
        <w:lastRenderedPageBreak/>
        <w:t>4. Background</w:t>
      </w:r>
      <w:bookmarkEnd w:id="77"/>
    </w:p>
    <w:p w14:paraId="638395CB" w14:textId="562993C3" w:rsidR="00581A5E" w:rsidRDefault="00581A5E" w:rsidP="00D0581F">
      <w:pPr>
        <w:pStyle w:val="Heading2"/>
      </w:pPr>
      <w:bookmarkStart w:id="78" w:name="_Toc530573342"/>
      <w:bookmarkStart w:id="79" w:name="_Toc57368587"/>
      <w:r>
        <w:t xml:space="preserve">History of </w:t>
      </w:r>
      <w:r w:rsidR="00B1653E">
        <w:t>r</w:t>
      </w:r>
      <w:r w:rsidR="00B1653E" w:rsidRPr="00A618BE">
        <w:t xml:space="preserve">eproductive </w:t>
      </w:r>
      <w:r w:rsidR="00B1653E">
        <w:t>c</w:t>
      </w:r>
      <w:r w:rsidR="00B1653E" w:rsidRPr="00A618BE">
        <w:t>oercion</w:t>
      </w:r>
      <w:bookmarkEnd w:id="78"/>
      <w:bookmarkEnd w:id="79"/>
    </w:p>
    <w:p w14:paraId="4A166EC1" w14:textId="67940E24" w:rsidR="00581A5E" w:rsidRDefault="00B1653E" w:rsidP="00D0581F">
      <w:r>
        <w:t>R</w:t>
      </w:r>
      <w:r w:rsidRPr="00A618BE">
        <w:t xml:space="preserve">eproductive </w:t>
      </w:r>
      <w:r>
        <w:t>c</w:t>
      </w:r>
      <w:r w:rsidRPr="00A618BE">
        <w:t>oercion</w:t>
      </w:r>
      <w:r>
        <w:t xml:space="preserve"> </w:t>
      </w:r>
      <w:r w:rsidR="005A15A0">
        <w:t xml:space="preserve">is a term that has been used intermittently since the 1960s. It is has been used in various contexts to refer to the structural and interpersonal abuse of power over </w:t>
      </w:r>
      <w:r w:rsidR="00647301">
        <w:t>sexual and reproductive health rights</w:t>
      </w:r>
      <w:r w:rsidR="00581A5E">
        <w:t>.</w:t>
      </w:r>
      <w:r w:rsidR="00581A5E">
        <w:rPr>
          <w:rStyle w:val="EndnoteReference"/>
        </w:rPr>
        <w:endnoteReference w:id="6"/>
      </w:r>
      <w:r w:rsidR="00581A5E">
        <w:t xml:space="preserve"> The term </w:t>
      </w:r>
      <w:r w:rsidR="005A15A0">
        <w:t>has been</w:t>
      </w:r>
      <w:r w:rsidR="00581A5E">
        <w:t xml:space="preserve"> used by researchers in North America to describe a series of pregnancy controlling behaviours such as ‘birth control sabotage’ linked to the issue of IPV.</w:t>
      </w:r>
      <w:r w:rsidR="00581A5E">
        <w:rPr>
          <w:rStyle w:val="EndnoteReference"/>
        </w:rPr>
        <w:endnoteReference w:id="7"/>
      </w:r>
      <w:r w:rsidR="00581A5E">
        <w:t xml:space="preserve"> Much </w:t>
      </w:r>
      <w:r w:rsidR="00647301">
        <w:t xml:space="preserve">academic </w:t>
      </w:r>
      <w:r w:rsidR="00581A5E">
        <w:t xml:space="preserve">research on </w:t>
      </w:r>
      <w:r>
        <w:t>r</w:t>
      </w:r>
      <w:r w:rsidRPr="00A618BE">
        <w:t xml:space="preserve">eproductive </w:t>
      </w:r>
      <w:r>
        <w:t>c</w:t>
      </w:r>
      <w:r w:rsidRPr="00A618BE">
        <w:t>oercion</w:t>
      </w:r>
      <w:r>
        <w:t xml:space="preserve"> </w:t>
      </w:r>
      <w:r w:rsidR="00581A5E">
        <w:t xml:space="preserve">since has </w:t>
      </w:r>
      <w:r w:rsidR="00647301">
        <w:t>been published in</w:t>
      </w:r>
      <w:r w:rsidR="00581A5E">
        <w:t xml:space="preserve"> North America, however the term has also become more prevalent in research work here in Australia.</w:t>
      </w:r>
      <w:r w:rsidR="00581A5E">
        <w:rPr>
          <w:rStyle w:val="EndnoteReference"/>
        </w:rPr>
        <w:endnoteReference w:id="8"/>
      </w:r>
      <w:r w:rsidR="00581A5E">
        <w:t xml:space="preserve"> </w:t>
      </w:r>
    </w:p>
    <w:p w14:paraId="59A3AC11" w14:textId="3DE8B2C4" w:rsidR="00581A5E" w:rsidRPr="00A618BE" w:rsidRDefault="00581A5E" w:rsidP="00D0581F">
      <w:r>
        <w:t xml:space="preserve">With the increasingly urgent and warranted focus on FV, particularly IPV, the profile and understanding of </w:t>
      </w:r>
      <w:r w:rsidR="00B1653E">
        <w:t>r</w:t>
      </w:r>
      <w:r w:rsidR="00B1653E" w:rsidRPr="00A618BE">
        <w:t xml:space="preserve">eproductive </w:t>
      </w:r>
      <w:r w:rsidR="00B1653E">
        <w:t>c</w:t>
      </w:r>
      <w:r w:rsidR="00B1653E" w:rsidRPr="00A618BE">
        <w:t>oercion</w:t>
      </w:r>
      <w:r w:rsidR="00B1653E">
        <w:t xml:space="preserve"> </w:t>
      </w:r>
      <w:r>
        <w:t xml:space="preserve">as an issue is starting to be uncovered. There is still much to be learnt about </w:t>
      </w:r>
      <w:r w:rsidR="00B1653E">
        <w:t>r</w:t>
      </w:r>
      <w:r w:rsidR="00B1653E" w:rsidRPr="00A618BE">
        <w:t xml:space="preserve">eproductive </w:t>
      </w:r>
      <w:r w:rsidR="00B1653E">
        <w:t>c</w:t>
      </w:r>
      <w:r w:rsidR="00B1653E" w:rsidRPr="00A618BE">
        <w:t>oercion</w:t>
      </w:r>
      <w:r>
        <w:t xml:space="preserve">, and this </w:t>
      </w:r>
      <w:r w:rsidR="00B56730">
        <w:t>w</w:t>
      </w:r>
      <w:r>
        <w:t xml:space="preserve">hite </w:t>
      </w:r>
      <w:r w:rsidR="00B56730">
        <w:t>p</w:t>
      </w:r>
      <w:r>
        <w:t xml:space="preserve">aper seeks to add to the knowledge about the issue both internationally and in Australia. </w:t>
      </w:r>
    </w:p>
    <w:p w14:paraId="770CECBA" w14:textId="231EE0F2" w:rsidR="00581A5E" w:rsidRPr="00A618BE" w:rsidRDefault="00581A5E" w:rsidP="00D0581F">
      <w:pPr>
        <w:pStyle w:val="Heading2"/>
      </w:pPr>
      <w:bookmarkStart w:id="80" w:name="_Toc530573343"/>
      <w:bookmarkStart w:id="81" w:name="_Toc57368588"/>
      <w:r w:rsidRPr="00A618BE">
        <w:t xml:space="preserve">What is </w:t>
      </w:r>
      <w:r w:rsidR="00B1653E">
        <w:t>r</w:t>
      </w:r>
      <w:r w:rsidR="00B1653E" w:rsidRPr="00A618BE">
        <w:t xml:space="preserve">eproductive </w:t>
      </w:r>
      <w:r w:rsidR="00B1653E">
        <w:t>c</w:t>
      </w:r>
      <w:r w:rsidR="00B1653E" w:rsidRPr="00A618BE">
        <w:t>oercion</w:t>
      </w:r>
      <w:r w:rsidRPr="00A618BE">
        <w:t>?</w:t>
      </w:r>
      <w:bookmarkEnd w:id="80"/>
      <w:bookmarkEnd w:id="81"/>
    </w:p>
    <w:p w14:paraId="45E292A2" w14:textId="3ED508A8" w:rsidR="00581A5E" w:rsidRPr="00A618BE" w:rsidRDefault="00581A5E" w:rsidP="00D0581F">
      <w:r w:rsidRPr="00A618BE">
        <w:t>R</w:t>
      </w:r>
      <w:r w:rsidR="000C7600">
        <w:t>eproductive coercion</w:t>
      </w:r>
      <w:r w:rsidRPr="00A618BE">
        <w:t xml:space="preserve"> is behaviour that interferes with the autonomy of a person to make decisions about their reproductive health</w:t>
      </w:r>
      <w:r>
        <w:t>.</w:t>
      </w:r>
      <w:r w:rsidRPr="00A618BE">
        <w:rPr>
          <w:rStyle w:val="EndnoteReference"/>
        </w:rPr>
        <w:endnoteReference w:id="9"/>
      </w:r>
      <w:r w:rsidRPr="00A618BE">
        <w:t xml:space="preserve"> </w:t>
      </w:r>
      <w:r w:rsidR="00B1653E">
        <w:t>R</w:t>
      </w:r>
      <w:r w:rsidR="00B1653E" w:rsidRPr="00A618BE">
        <w:t xml:space="preserve">eproductive </w:t>
      </w:r>
      <w:r w:rsidR="00B1653E">
        <w:t>c</w:t>
      </w:r>
      <w:r w:rsidR="00B1653E" w:rsidRPr="00A618BE">
        <w:t>oercion</w:t>
      </w:r>
      <w:r w:rsidR="00B1653E">
        <w:t xml:space="preserve"> </w:t>
      </w:r>
      <w:r w:rsidRPr="00A618BE">
        <w:t>includes any behaviour that has the intention of controlling or constraining another person’s reproductive health decision-making and can take a variety of forms. For example:</w:t>
      </w:r>
    </w:p>
    <w:p w14:paraId="20201C75" w14:textId="1B349D92" w:rsidR="00581A5E" w:rsidRPr="00A618BE" w:rsidRDefault="00230B44" w:rsidP="00D0581F">
      <w:pPr>
        <w:pStyle w:val="ListParagraph"/>
        <w:numPr>
          <w:ilvl w:val="0"/>
          <w:numId w:val="7"/>
        </w:numPr>
        <w:spacing w:before="240" w:after="240"/>
      </w:pPr>
      <w:r>
        <w:t>s</w:t>
      </w:r>
      <w:r w:rsidR="00581A5E" w:rsidRPr="00A618BE">
        <w:t>abotage of another person’s contraception: e.g. deliberately removing or damaging a condom, or hiding or disposing of oral contraceptives</w:t>
      </w:r>
    </w:p>
    <w:p w14:paraId="0AF0728C" w14:textId="23B17A54" w:rsidR="00581A5E" w:rsidRPr="00A618BE" w:rsidRDefault="00230B44" w:rsidP="00D0581F">
      <w:pPr>
        <w:pStyle w:val="ListParagraph"/>
        <w:numPr>
          <w:ilvl w:val="0"/>
          <w:numId w:val="7"/>
        </w:numPr>
        <w:spacing w:before="240" w:after="240"/>
      </w:pPr>
      <w:r>
        <w:t>p</w:t>
      </w:r>
      <w:r w:rsidR="00581A5E" w:rsidRPr="00A618BE">
        <w:t>ressuring another person into pregnancy</w:t>
      </w:r>
    </w:p>
    <w:p w14:paraId="4567279F" w14:textId="4C8EA237" w:rsidR="00581A5E" w:rsidRPr="00A618BE" w:rsidRDefault="00230B44" w:rsidP="00D0581F">
      <w:pPr>
        <w:pStyle w:val="ListParagraph"/>
        <w:numPr>
          <w:ilvl w:val="0"/>
          <w:numId w:val="7"/>
        </w:numPr>
        <w:spacing w:before="240" w:after="240"/>
      </w:pPr>
      <w:r>
        <w:t>c</w:t>
      </w:r>
      <w:r w:rsidR="00581A5E" w:rsidRPr="00A618BE">
        <w:t>ontrolling the outcome of another person’s pregnancy. For example, forcing another person to continue a pregnancy or forcing another person to terminate a pregnancy</w:t>
      </w:r>
    </w:p>
    <w:p w14:paraId="2167D289" w14:textId="215440C9" w:rsidR="00581A5E" w:rsidRPr="00A618BE" w:rsidRDefault="00D76477" w:rsidP="00D0581F">
      <w:pPr>
        <w:pStyle w:val="ListParagraph"/>
        <w:numPr>
          <w:ilvl w:val="0"/>
          <w:numId w:val="7"/>
        </w:numPr>
        <w:spacing w:before="240" w:after="240"/>
      </w:pPr>
      <w:r>
        <w:t>f</w:t>
      </w:r>
      <w:r w:rsidR="00581A5E" w:rsidRPr="00A618BE">
        <w:t>orcing or coercing a person into sterilisation.</w:t>
      </w:r>
    </w:p>
    <w:p w14:paraId="27048818" w14:textId="2DB7F918" w:rsidR="00581A5E" w:rsidRPr="00A618BE" w:rsidRDefault="003A783B" w:rsidP="00D0581F">
      <w:r>
        <w:t>R</w:t>
      </w:r>
      <w:r w:rsidRPr="00A618BE">
        <w:t xml:space="preserve">eproductive </w:t>
      </w:r>
      <w:r>
        <w:t>c</w:t>
      </w:r>
      <w:r w:rsidRPr="00A618BE">
        <w:t>oercion</w:t>
      </w:r>
      <w:r>
        <w:t xml:space="preserve"> </w:t>
      </w:r>
      <w:r w:rsidR="00581A5E" w:rsidRPr="00A618BE">
        <w:t>is a deliberate abuse of power that</w:t>
      </w:r>
      <w:r w:rsidR="00581A5E">
        <w:t xml:space="preserve"> can be exerted using physical</w:t>
      </w:r>
      <w:r w:rsidR="00581A5E" w:rsidRPr="00A618BE">
        <w:t xml:space="preserve"> violence, such as sexual assault, </w:t>
      </w:r>
      <w:r w:rsidR="00581A5E">
        <w:t>but can also occur</w:t>
      </w:r>
      <w:r w:rsidR="00581A5E" w:rsidRPr="00A618BE">
        <w:t xml:space="preserve"> in the absence of physical violence</w:t>
      </w:r>
      <w:r w:rsidR="00581A5E">
        <w:t>.</w:t>
      </w:r>
      <w:r w:rsidR="00581A5E" w:rsidRPr="00A618BE">
        <w:rPr>
          <w:rStyle w:val="EndnoteReference"/>
        </w:rPr>
        <w:endnoteReference w:id="10"/>
      </w:r>
    </w:p>
    <w:p w14:paraId="73E5CEA4" w14:textId="05DBE371" w:rsidR="00581A5E" w:rsidRPr="00A618BE" w:rsidRDefault="003A783B" w:rsidP="00D0581F">
      <w:r>
        <w:t>R</w:t>
      </w:r>
      <w:r w:rsidRPr="00A618BE">
        <w:t xml:space="preserve">eproductive </w:t>
      </w:r>
      <w:r>
        <w:t>c</w:t>
      </w:r>
      <w:r w:rsidRPr="00A618BE">
        <w:t>oercion</w:t>
      </w:r>
      <w:r>
        <w:t xml:space="preserve"> </w:t>
      </w:r>
      <w:r w:rsidR="00581A5E" w:rsidRPr="00A618BE">
        <w:t>is exercised in two domains:</w:t>
      </w:r>
    </w:p>
    <w:p w14:paraId="5235662F" w14:textId="77777777" w:rsidR="00581A5E" w:rsidRPr="00A618BE" w:rsidRDefault="00581A5E" w:rsidP="00D0581F">
      <w:pPr>
        <w:pStyle w:val="ListParagraph"/>
        <w:numPr>
          <w:ilvl w:val="0"/>
          <w:numId w:val="45"/>
        </w:numPr>
        <w:spacing w:before="240" w:after="240"/>
      </w:pPr>
      <w:r w:rsidRPr="00A618BE">
        <w:t xml:space="preserve">The </w:t>
      </w:r>
      <w:r w:rsidRPr="00A618BE">
        <w:rPr>
          <w:b/>
        </w:rPr>
        <w:t>interpersonal</w:t>
      </w:r>
      <w:r w:rsidRPr="00A618BE">
        <w:t>: the intentional, controlling behaviours that are directly exerted on a person’s reproductive health by another person or persons.</w:t>
      </w:r>
    </w:p>
    <w:p w14:paraId="659DF59C" w14:textId="5FB111BB" w:rsidR="00581A5E" w:rsidRDefault="00581A5E" w:rsidP="00D0581F">
      <w:pPr>
        <w:pStyle w:val="ListParagraph"/>
        <w:numPr>
          <w:ilvl w:val="0"/>
          <w:numId w:val="45"/>
        </w:numPr>
        <w:spacing w:before="240" w:after="240"/>
      </w:pPr>
      <w:r w:rsidRPr="00A618BE">
        <w:t xml:space="preserve">The </w:t>
      </w:r>
      <w:r w:rsidRPr="00A618BE">
        <w:rPr>
          <w:b/>
        </w:rPr>
        <w:t>structural</w:t>
      </w:r>
      <w:r w:rsidRPr="00A618BE">
        <w:t xml:space="preserve">: the social, cultural, economic, </w:t>
      </w:r>
      <w:proofErr w:type="gramStart"/>
      <w:r w:rsidRPr="00A618BE">
        <w:t>legal</w:t>
      </w:r>
      <w:proofErr w:type="gramEnd"/>
      <w:r w:rsidRPr="00A618BE">
        <w:t xml:space="preserve"> and political drivers that create an enabling environment that supports or allows </w:t>
      </w:r>
      <w:r w:rsidR="003A783B">
        <w:t>r</w:t>
      </w:r>
      <w:r w:rsidR="003A783B" w:rsidRPr="00A618BE">
        <w:t xml:space="preserve">eproductive </w:t>
      </w:r>
      <w:r w:rsidR="003A783B">
        <w:t>c</w:t>
      </w:r>
      <w:r w:rsidR="003A783B" w:rsidRPr="00A618BE">
        <w:t>oercion</w:t>
      </w:r>
      <w:r w:rsidRPr="00A618BE">
        <w:t>. For example, gender inequality, government policy and legislation, workplace practices, limited access to appropriate healthcare and enabling cultural and social norms.</w:t>
      </w:r>
    </w:p>
    <w:p w14:paraId="10194DC9" w14:textId="543ED7E8" w:rsidR="000C7600" w:rsidRDefault="000C7600" w:rsidP="00D0581F">
      <w:pPr>
        <w:pStyle w:val="Heading2"/>
      </w:pPr>
      <w:bookmarkStart w:id="82" w:name="_Toc57368589"/>
      <w:r>
        <w:lastRenderedPageBreak/>
        <w:t xml:space="preserve">Violence </w:t>
      </w:r>
      <w:r w:rsidR="008222C7">
        <w:t>against w</w:t>
      </w:r>
      <w:r>
        <w:t>omen</w:t>
      </w:r>
      <w:bookmarkEnd w:id="82"/>
    </w:p>
    <w:p w14:paraId="0E055341" w14:textId="0240F1DC" w:rsidR="00600A3E" w:rsidRPr="008222C7" w:rsidRDefault="0059205B" w:rsidP="00D0581F">
      <w:pPr>
        <w:rPr>
          <w:szCs w:val="24"/>
        </w:rPr>
      </w:pPr>
      <w:r>
        <w:rPr>
          <w:szCs w:val="24"/>
        </w:rPr>
        <w:t>Reproductive coercion is one</w:t>
      </w:r>
      <w:r w:rsidR="000C7600" w:rsidRPr="00515FEC">
        <w:rPr>
          <w:szCs w:val="24"/>
        </w:rPr>
        <w:t xml:space="preserve"> </w:t>
      </w:r>
      <w:r>
        <w:rPr>
          <w:szCs w:val="24"/>
        </w:rPr>
        <w:t xml:space="preserve">of the </w:t>
      </w:r>
      <w:r w:rsidR="000C7600" w:rsidRPr="00515FEC">
        <w:rPr>
          <w:szCs w:val="24"/>
        </w:rPr>
        <w:t>form</w:t>
      </w:r>
      <w:r>
        <w:rPr>
          <w:szCs w:val="24"/>
        </w:rPr>
        <w:t>s</w:t>
      </w:r>
      <w:r w:rsidR="000C7600" w:rsidRPr="00515FEC">
        <w:rPr>
          <w:szCs w:val="24"/>
        </w:rPr>
        <w:t xml:space="preserve"> of violence against women. </w:t>
      </w:r>
      <w:r w:rsidR="000C7600" w:rsidRPr="00797CC1">
        <w:rPr>
          <w:szCs w:val="24"/>
        </w:rPr>
        <w:t xml:space="preserve">Violence against women </w:t>
      </w:r>
      <w:r w:rsidR="000C7600" w:rsidRPr="00F113B5">
        <w:rPr>
          <w:szCs w:val="24"/>
        </w:rPr>
        <w:t xml:space="preserve">was defined by the United Nations in </w:t>
      </w:r>
      <w:r w:rsidR="00600A3E" w:rsidRPr="008567C2">
        <w:rPr>
          <w:szCs w:val="24"/>
        </w:rPr>
        <w:t xml:space="preserve">the </w:t>
      </w:r>
      <w:r w:rsidR="000C7600" w:rsidRPr="008567C2">
        <w:rPr>
          <w:szCs w:val="24"/>
        </w:rPr>
        <w:t xml:space="preserve">1993 </w:t>
      </w:r>
      <w:r w:rsidR="00600A3E" w:rsidRPr="008567C2">
        <w:rPr>
          <w:szCs w:val="24"/>
        </w:rPr>
        <w:t xml:space="preserve">Declaration on the Elimination of Violence </w:t>
      </w:r>
      <w:r w:rsidR="00600A3E" w:rsidRPr="009D6A1F">
        <w:rPr>
          <w:szCs w:val="24"/>
        </w:rPr>
        <w:t>Against Women as:</w:t>
      </w:r>
      <w:r w:rsidR="000C7600" w:rsidRPr="00901EE8">
        <w:rPr>
          <w:szCs w:val="24"/>
        </w:rPr>
        <w:t xml:space="preserve"> </w:t>
      </w:r>
    </w:p>
    <w:p w14:paraId="7FA175A3" w14:textId="5FAEE9F0" w:rsidR="000C7600" w:rsidRPr="00BE4A29" w:rsidRDefault="00600A3E" w:rsidP="00D0581F">
      <w:pPr>
        <w:rPr>
          <w:rFonts w:cs="Arial"/>
          <w:i/>
          <w:szCs w:val="24"/>
        </w:rPr>
      </w:pPr>
      <w:r w:rsidRPr="00BE4A29">
        <w:rPr>
          <w:i/>
          <w:szCs w:val="24"/>
        </w:rPr>
        <w:t>“…</w:t>
      </w:r>
      <w:r w:rsidR="000C7600" w:rsidRPr="00BE4A29">
        <w:rPr>
          <w:rFonts w:cs="Arial"/>
          <w:i/>
          <w:szCs w:val="24"/>
        </w:rPr>
        <w:t>any act of gender-based violence that results in, or is likely to result in, physical, sexual or psychological harm or suffering to women, including threats of such acts, coercion or arbitrary deprivation of liberty, whether occurring in public or in private life.</w:t>
      </w:r>
    </w:p>
    <w:p w14:paraId="0B908AD9" w14:textId="77777777" w:rsidR="00600A3E" w:rsidRPr="00BE4A29" w:rsidRDefault="00600A3E" w:rsidP="00D0581F">
      <w:pPr>
        <w:rPr>
          <w:rFonts w:cs="Arial"/>
          <w:i/>
          <w:szCs w:val="24"/>
        </w:rPr>
      </w:pPr>
      <w:r w:rsidRPr="00BE4A29">
        <w:rPr>
          <w:rFonts w:cs="Arial"/>
          <w:i/>
          <w:szCs w:val="24"/>
        </w:rPr>
        <w:t xml:space="preserve">Violence against women shall be understood to encompass, but not be limited to, the following: </w:t>
      </w:r>
    </w:p>
    <w:p w14:paraId="3846721E" w14:textId="77777777" w:rsidR="00600A3E" w:rsidRPr="00BE4A29" w:rsidRDefault="00600A3E" w:rsidP="00D0581F">
      <w:pPr>
        <w:ind w:left="720"/>
        <w:rPr>
          <w:rFonts w:cs="Arial"/>
          <w:i/>
          <w:szCs w:val="24"/>
        </w:rPr>
      </w:pPr>
      <w:r w:rsidRPr="00BE4A29">
        <w:rPr>
          <w:rFonts w:cs="Arial"/>
          <w:i/>
          <w:szCs w:val="24"/>
        </w:rPr>
        <w:t xml:space="preserve">( a ) Physical, sexual and psychological violence occurring in the family, including battering, sexual abuse of female children in the household, dowry-related violence, marital rape, female genital mutilation and other traditional practices harmful to women, non-spousal violence and violence related to exploitation; </w:t>
      </w:r>
    </w:p>
    <w:p w14:paraId="74B60C16" w14:textId="77777777" w:rsidR="00600A3E" w:rsidRPr="00BE4A29" w:rsidRDefault="00600A3E" w:rsidP="00D0581F">
      <w:pPr>
        <w:ind w:left="720"/>
        <w:rPr>
          <w:rFonts w:cs="Arial"/>
          <w:i/>
          <w:szCs w:val="24"/>
        </w:rPr>
      </w:pPr>
      <w:proofErr w:type="gramStart"/>
      <w:r w:rsidRPr="00BE4A29">
        <w:rPr>
          <w:rFonts w:cs="Arial"/>
          <w:i/>
          <w:szCs w:val="24"/>
        </w:rPr>
        <w:t>( b</w:t>
      </w:r>
      <w:proofErr w:type="gramEnd"/>
      <w:r w:rsidRPr="00BE4A29">
        <w:rPr>
          <w:rFonts w:cs="Arial"/>
          <w:i/>
          <w:szCs w:val="24"/>
        </w:rPr>
        <w:t xml:space="preserve"> ) Physical, sexual and psychological violence occurring within the general community, including rape, sexual abuse, sexual harassment and intimidation at work, in educational institutions and elsewhere, trafficking in women and forced prostitution; </w:t>
      </w:r>
    </w:p>
    <w:p w14:paraId="731CFB4A" w14:textId="5DA5651E" w:rsidR="00600A3E" w:rsidRPr="00BE4A29" w:rsidRDefault="00600A3E" w:rsidP="00D0581F">
      <w:pPr>
        <w:ind w:left="720"/>
        <w:rPr>
          <w:rFonts w:cs="Arial"/>
          <w:i/>
          <w:szCs w:val="24"/>
        </w:rPr>
      </w:pPr>
      <w:proofErr w:type="gramStart"/>
      <w:r w:rsidRPr="00BE4A29">
        <w:rPr>
          <w:rFonts w:cs="Arial"/>
          <w:i/>
          <w:szCs w:val="24"/>
        </w:rPr>
        <w:t>( c</w:t>
      </w:r>
      <w:proofErr w:type="gramEnd"/>
      <w:r w:rsidRPr="00BE4A29">
        <w:rPr>
          <w:rFonts w:cs="Arial"/>
          <w:i/>
          <w:szCs w:val="24"/>
        </w:rPr>
        <w:t xml:space="preserve"> ) Physical, sexual and psychological violence perpetrated or condoned by the State, wherever it occurs.”</w:t>
      </w:r>
      <w:r w:rsidRPr="00BE4A29">
        <w:rPr>
          <w:rStyle w:val="EndnoteReference"/>
          <w:rFonts w:cs="Arial"/>
          <w:i/>
          <w:szCs w:val="24"/>
        </w:rPr>
        <w:endnoteReference w:id="11"/>
      </w:r>
    </w:p>
    <w:p w14:paraId="6D2A498D" w14:textId="73BC123A" w:rsidR="00600A3E" w:rsidRPr="00E95D15" w:rsidRDefault="00600A3E" w:rsidP="00D0581F">
      <w:pPr>
        <w:rPr>
          <w:szCs w:val="24"/>
        </w:rPr>
      </w:pPr>
      <w:r w:rsidRPr="00515FEC">
        <w:rPr>
          <w:szCs w:val="24"/>
        </w:rPr>
        <w:t xml:space="preserve">This definition has been adopted by the </w:t>
      </w:r>
      <w:r w:rsidR="00230B44">
        <w:rPr>
          <w:szCs w:val="24"/>
        </w:rPr>
        <w:t>WHO</w:t>
      </w:r>
      <w:r w:rsidR="002F26A1" w:rsidRPr="00F113B5">
        <w:rPr>
          <w:szCs w:val="24"/>
        </w:rPr>
        <w:t xml:space="preserve">, </w:t>
      </w:r>
      <w:r w:rsidRPr="00F113B5">
        <w:rPr>
          <w:szCs w:val="24"/>
        </w:rPr>
        <w:t xml:space="preserve">the Australian Government through the National Plan to </w:t>
      </w:r>
      <w:r w:rsidR="00164776" w:rsidRPr="009D6A1F">
        <w:rPr>
          <w:szCs w:val="24"/>
        </w:rPr>
        <w:t>Reduce</w:t>
      </w:r>
      <w:r w:rsidRPr="00901EE8">
        <w:rPr>
          <w:szCs w:val="24"/>
        </w:rPr>
        <w:t xml:space="preserve"> Violence Against Women and their Children</w:t>
      </w:r>
      <w:r w:rsidR="002F26A1" w:rsidRPr="00E95D15">
        <w:rPr>
          <w:szCs w:val="24"/>
        </w:rPr>
        <w:t xml:space="preserve"> (2010-2022) and Our Watch</w:t>
      </w:r>
      <w:r w:rsidRPr="00E95D15">
        <w:rPr>
          <w:szCs w:val="24"/>
        </w:rPr>
        <w:t>.</w:t>
      </w:r>
      <w:r w:rsidRPr="00E95D15">
        <w:rPr>
          <w:rStyle w:val="EndnoteReference"/>
          <w:szCs w:val="24"/>
        </w:rPr>
        <w:endnoteReference w:id="12"/>
      </w:r>
      <w:r w:rsidRPr="00E95D15">
        <w:rPr>
          <w:szCs w:val="24"/>
        </w:rPr>
        <w:t xml:space="preserve">  </w:t>
      </w:r>
    </w:p>
    <w:p w14:paraId="4B31C5F3" w14:textId="651D33B2" w:rsidR="00600A3E" w:rsidRPr="00F02FFF" w:rsidRDefault="00600A3E" w:rsidP="00D0581F">
      <w:pPr>
        <w:rPr>
          <w:szCs w:val="24"/>
        </w:rPr>
      </w:pPr>
      <w:r w:rsidRPr="00E95D15">
        <w:rPr>
          <w:szCs w:val="24"/>
        </w:rPr>
        <w:t xml:space="preserve">Reproductive coercion </w:t>
      </w:r>
      <w:r w:rsidR="004A4A52">
        <w:rPr>
          <w:szCs w:val="24"/>
        </w:rPr>
        <w:t xml:space="preserve">is </w:t>
      </w:r>
      <w:r w:rsidR="001039F8">
        <w:rPr>
          <w:szCs w:val="24"/>
        </w:rPr>
        <w:t xml:space="preserve">not </w:t>
      </w:r>
      <w:r w:rsidRPr="00E95D15">
        <w:rPr>
          <w:szCs w:val="24"/>
        </w:rPr>
        <w:t xml:space="preserve">uniquely experienced by women. Reproductive coercion can be experienced by people of all genders, </w:t>
      </w:r>
      <w:r w:rsidR="004A4A52">
        <w:rPr>
          <w:szCs w:val="24"/>
        </w:rPr>
        <w:t xml:space="preserve">trans and </w:t>
      </w:r>
      <w:r w:rsidRPr="00E95D15">
        <w:rPr>
          <w:szCs w:val="24"/>
        </w:rPr>
        <w:t>non-binary people.</w:t>
      </w:r>
      <w:r w:rsidR="0059205B">
        <w:rPr>
          <w:szCs w:val="24"/>
        </w:rPr>
        <w:t xml:space="preserve"> </w:t>
      </w:r>
      <w:r w:rsidR="001039F8">
        <w:rPr>
          <w:szCs w:val="24"/>
        </w:rPr>
        <w:t xml:space="preserve">Reproductive coercion is </w:t>
      </w:r>
      <w:r w:rsidR="0059205B">
        <w:rPr>
          <w:szCs w:val="24"/>
        </w:rPr>
        <w:t>also a form</w:t>
      </w:r>
      <w:r w:rsidR="001039F8">
        <w:rPr>
          <w:szCs w:val="24"/>
        </w:rPr>
        <w:t xml:space="preserve"> of gender-based violence, </w:t>
      </w:r>
      <w:r w:rsidR="0059205B">
        <w:rPr>
          <w:szCs w:val="24"/>
        </w:rPr>
        <w:t>affected</w:t>
      </w:r>
      <w:r w:rsidR="001039F8">
        <w:rPr>
          <w:szCs w:val="24"/>
        </w:rPr>
        <w:t xml:space="preserve"> by the presence and interplay of </w:t>
      </w:r>
      <w:r w:rsidR="0059205B">
        <w:rPr>
          <w:szCs w:val="24"/>
        </w:rPr>
        <w:t xml:space="preserve">intersectional </w:t>
      </w:r>
      <w:r w:rsidR="001039F8">
        <w:rPr>
          <w:szCs w:val="24"/>
        </w:rPr>
        <w:t>femin</w:t>
      </w:r>
      <w:r w:rsidR="0059205B">
        <w:rPr>
          <w:szCs w:val="24"/>
        </w:rPr>
        <w:t>inities and/or masculinities</w:t>
      </w:r>
      <w:r w:rsidR="001039F8">
        <w:rPr>
          <w:szCs w:val="24"/>
        </w:rPr>
        <w:t xml:space="preserve">. </w:t>
      </w:r>
      <w:r w:rsidR="00F02FFF">
        <w:rPr>
          <w:szCs w:val="24"/>
        </w:rPr>
        <w:t>For further information, read ‘contextualising rep</w:t>
      </w:r>
      <w:r w:rsidR="0059205B">
        <w:rPr>
          <w:szCs w:val="24"/>
        </w:rPr>
        <w:t>roductive coercion’ in section seven of this paper</w:t>
      </w:r>
      <w:r w:rsidR="00F02FFF">
        <w:rPr>
          <w:szCs w:val="24"/>
        </w:rPr>
        <w:t>.</w:t>
      </w:r>
    </w:p>
    <w:p w14:paraId="77E44805" w14:textId="2ECC6A39" w:rsidR="00581A5E" w:rsidRPr="00A618BE" w:rsidRDefault="00581A5E" w:rsidP="00D0581F">
      <w:pPr>
        <w:pStyle w:val="Heading2"/>
      </w:pPr>
      <w:bookmarkStart w:id="83" w:name="_Toc530573344"/>
      <w:bookmarkStart w:id="84" w:name="_Toc57368590"/>
      <w:r w:rsidRPr="00A618BE">
        <w:t xml:space="preserve">Why </w:t>
      </w:r>
      <w:r w:rsidR="003A783B">
        <w:t>d</w:t>
      </w:r>
      <w:r w:rsidRPr="00A618BE">
        <w:t xml:space="preserve">oes </w:t>
      </w:r>
      <w:r w:rsidR="003A783B">
        <w:t>r</w:t>
      </w:r>
      <w:r w:rsidR="003A783B" w:rsidRPr="00A618BE">
        <w:t xml:space="preserve">eproductive </w:t>
      </w:r>
      <w:r w:rsidR="003A783B">
        <w:t>c</w:t>
      </w:r>
      <w:r w:rsidR="003A783B" w:rsidRPr="00A618BE">
        <w:t>oercion</w:t>
      </w:r>
      <w:r w:rsidR="003A783B">
        <w:t xml:space="preserve"> m</w:t>
      </w:r>
      <w:r w:rsidRPr="00A618BE">
        <w:t>atter?</w:t>
      </w:r>
      <w:bookmarkEnd w:id="83"/>
      <w:bookmarkEnd w:id="84"/>
    </w:p>
    <w:p w14:paraId="5A9FAD27" w14:textId="77777777" w:rsidR="00230B44" w:rsidRDefault="00581A5E" w:rsidP="00D0581F">
      <w:r>
        <w:t>Having control of one’s sexual and reproductive health is vital to overall health and wellbeing as well as to society in general.</w:t>
      </w:r>
      <w:r>
        <w:rPr>
          <w:rStyle w:val="EndnoteReference"/>
        </w:rPr>
        <w:endnoteReference w:id="13"/>
      </w:r>
      <w:r>
        <w:t xml:space="preserve"> In May 2018, the Guttmacher-Lancet Commission released a global action plan detailing the importance of sexual and reproductive health and rights to overall health, wellbeing and prosperity. The report was a ground-breaking attempt to show the importance of overlooked aspects of reproductive health and rights including access to basic services such as abortion care, </w:t>
      </w:r>
      <w:proofErr w:type="gramStart"/>
      <w:r>
        <w:t>contraception</w:t>
      </w:r>
      <w:proofErr w:type="gramEnd"/>
      <w:r>
        <w:t xml:space="preserve"> and the need for health literacy, to overall health, wellbeing and community prosperity. </w:t>
      </w:r>
    </w:p>
    <w:p w14:paraId="577D9951" w14:textId="77777777" w:rsidR="00230B44" w:rsidRDefault="00230B44">
      <w:pPr>
        <w:spacing w:after="160" w:line="259" w:lineRule="auto"/>
      </w:pPr>
      <w:r>
        <w:br w:type="page"/>
      </w:r>
    </w:p>
    <w:p w14:paraId="0BABECAB" w14:textId="3AC29FEA" w:rsidR="00581A5E" w:rsidRDefault="00581A5E" w:rsidP="00D0581F">
      <w:r>
        <w:lastRenderedPageBreak/>
        <w:t xml:space="preserve">At its heart, the Guttmacher-Lancet Commission underscored the need for all people to be able to control their sexual and reproductive health decisions. </w:t>
      </w:r>
    </w:p>
    <w:p w14:paraId="5DA3118B" w14:textId="78897FC7" w:rsidR="00581A5E" w:rsidRDefault="00581A5E" w:rsidP="00D0581F">
      <w:r>
        <w:t xml:space="preserve">Addressing </w:t>
      </w:r>
      <w:r w:rsidR="003A783B">
        <w:t>r</w:t>
      </w:r>
      <w:r w:rsidR="003A783B" w:rsidRPr="00A618BE">
        <w:t xml:space="preserve">eproductive </w:t>
      </w:r>
      <w:r w:rsidR="003A783B">
        <w:t>c</w:t>
      </w:r>
      <w:r w:rsidR="003A783B" w:rsidRPr="00A618BE">
        <w:t>oercion</w:t>
      </w:r>
      <w:r w:rsidR="003A783B">
        <w:t xml:space="preserve"> </w:t>
      </w:r>
      <w:r>
        <w:t xml:space="preserve">is a vital part of the global effort to promote good overall health and wellbeing and </w:t>
      </w:r>
      <w:proofErr w:type="gramStart"/>
      <w:r>
        <w:t>this is why</w:t>
      </w:r>
      <w:proofErr w:type="gramEnd"/>
      <w:r>
        <w:t xml:space="preserve"> it warrants further study and resources to address its root causes. </w:t>
      </w:r>
    </w:p>
    <w:p w14:paraId="53E4EEE4" w14:textId="4DF7F7AB" w:rsidR="00581A5E" w:rsidRPr="00A618BE" w:rsidRDefault="003A783B" w:rsidP="00D0581F">
      <w:r>
        <w:t>R</w:t>
      </w:r>
      <w:r w:rsidRPr="00A618BE">
        <w:t xml:space="preserve">eproductive </w:t>
      </w:r>
      <w:r>
        <w:t>c</w:t>
      </w:r>
      <w:r w:rsidRPr="00A618BE">
        <w:t>oercion</w:t>
      </w:r>
      <w:r>
        <w:t xml:space="preserve"> </w:t>
      </w:r>
      <w:r w:rsidR="00581A5E" w:rsidRPr="00A618BE">
        <w:t xml:space="preserve">is a public health issue that negatively impacts on mental health, sexual and reproductive </w:t>
      </w:r>
      <w:proofErr w:type="gramStart"/>
      <w:r w:rsidR="00581A5E" w:rsidRPr="00A618BE">
        <w:t>health</w:t>
      </w:r>
      <w:proofErr w:type="gramEnd"/>
      <w:r w:rsidR="00581A5E" w:rsidRPr="00A618BE">
        <w:t xml:space="preserve"> and maternal and child health</w:t>
      </w:r>
      <w:r w:rsidR="00581A5E">
        <w:t>.</w:t>
      </w:r>
      <w:r w:rsidR="00581A5E" w:rsidRPr="00A618BE">
        <w:rPr>
          <w:rStyle w:val="EndnoteReference"/>
        </w:rPr>
        <w:endnoteReference w:id="14"/>
      </w:r>
      <w:r w:rsidR="00581A5E" w:rsidRPr="00A618BE">
        <w:t xml:space="preserve"> </w:t>
      </w:r>
    </w:p>
    <w:p w14:paraId="10AD822A" w14:textId="413E2627" w:rsidR="00581A5E" w:rsidRPr="00A618BE" w:rsidRDefault="003A783B" w:rsidP="00D0581F">
      <w:r>
        <w:t>R</w:t>
      </w:r>
      <w:r w:rsidRPr="00A618BE">
        <w:t xml:space="preserve">eproductive </w:t>
      </w:r>
      <w:r>
        <w:t>c</w:t>
      </w:r>
      <w:r w:rsidRPr="00A618BE">
        <w:t>oercion</w:t>
      </w:r>
      <w:r>
        <w:t xml:space="preserve"> </w:t>
      </w:r>
      <w:r w:rsidR="00581A5E" w:rsidRPr="00A618BE">
        <w:t>is also often associated with Family Violence (FV), Intimate Partner Violence (IPV) and Sexual Violence (SV)</w:t>
      </w:r>
      <w:r w:rsidR="00581A5E">
        <w:t>.</w:t>
      </w:r>
      <w:r w:rsidR="00581A5E" w:rsidRPr="00A618BE">
        <w:rPr>
          <w:rStyle w:val="EndnoteReference"/>
        </w:rPr>
        <w:endnoteReference w:id="15"/>
      </w:r>
      <w:r w:rsidR="00581A5E" w:rsidRPr="00A618BE">
        <w:t xml:space="preserve"> On average in Australia, one woman is killed by an abusive male partner each week</w:t>
      </w:r>
      <w:r w:rsidR="00581A5E">
        <w:t>.</w:t>
      </w:r>
      <w:r w:rsidR="00581A5E" w:rsidRPr="00A618BE">
        <w:rPr>
          <w:rStyle w:val="EndnoteReference"/>
        </w:rPr>
        <w:endnoteReference w:id="16"/>
      </w:r>
      <w:r w:rsidR="00581A5E" w:rsidRPr="00A618BE">
        <w:t xml:space="preserve"> There is</w:t>
      </w:r>
      <w:r w:rsidR="00230B44">
        <w:t>,</w:t>
      </w:r>
      <w:r w:rsidR="00581A5E" w:rsidRPr="00A618BE">
        <w:t xml:space="preserve"> therefore</w:t>
      </w:r>
      <w:r w:rsidR="00230B44">
        <w:t>,</w:t>
      </w:r>
      <w:r w:rsidR="00581A5E" w:rsidRPr="00A618BE">
        <w:t xml:space="preserve"> a compelling public health and public safety reason to explore the issue of </w:t>
      </w:r>
      <w:r>
        <w:t>r</w:t>
      </w:r>
      <w:r w:rsidRPr="00A618BE">
        <w:t xml:space="preserve">eproductive </w:t>
      </w:r>
      <w:r>
        <w:t>c</w:t>
      </w:r>
      <w:r w:rsidRPr="00A618BE">
        <w:t>oercion</w:t>
      </w:r>
      <w:r>
        <w:t xml:space="preserve"> </w:t>
      </w:r>
      <w:r w:rsidR="00581A5E" w:rsidRPr="00A618BE">
        <w:t>and how it can create a better understanding and response to FV, IPV and SV.</w:t>
      </w:r>
    </w:p>
    <w:p w14:paraId="6B6736DC" w14:textId="23223A16" w:rsidR="00581A5E" w:rsidRPr="00A618BE" w:rsidRDefault="00581A5E" w:rsidP="00D0581F">
      <w:pPr>
        <w:pStyle w:val="Heading2"/>
      </w:pPr>
      <w:bookmarkStart w:id="85" w:name="_Toc530573345"/>
      <w:bookmarkStart w:id="86" w:name="_Toc57368591"/>
      <w:r w:rsidRPr="00A618BE">
        <w:t xml:space="preserve">Background to this </w:t>
      </w:r>
      <w:r w:rsidR="00D231C5">
        <w:t>w</w:t>
      </w:r>
      <w:r w:rsidRPr="00A618BE">
        <w:t xml:space="preserve">hite </w:t>
      </w:r>
      <w:r w:rsidR="00D231C5">
        <w:t>p</w:t>
      </w:r>
      <w:r w:rsidRPr="00A618BE">
        <w:t>aper</w:t>
      </w:r>
      <w:bookmarkEnd w:id="85"/>
      <w:bookmarkEnd w:id="86"/>
    </w:p>
    <w:p w14:paraId="71B07933" w14:textId="084A7A9E" w:rsidR="00581A5E" w:rsidRPr="00A618BE" w:rsidRDefault="00581A5E" w:rsidP="00D0581F">
      <w:r w:rsidRPr="00A618BE">
        <w:t>The 2016 Royal Commission into Family Violence</w:t>
      </w:r>
      <w:r w:rsidR="003A783B">
        <w:t xml:space="preserve"> in Victoria</w:t>
      </w:r>
      <w:r w:rsidRPr="00A618BE">
        <w:rPr>
          <w:rStyle w:val="EndnoteReference"/>
        </w:rPr>
        <w:endnoteReference w:id="17"/>
      </w:r>
      <w:r w:rsidRPr="00A618BE">
        <w:t xml:space="preserve"> marked a turning point in the way Australia responds to FV. On 26 May 2017</w:t>
      </w:r>
      <w:r w:rsidR="00230B44">
        <w:t>,</w:t>
      </w:r>
      <w:r w:rsidRPr="00A618BE">
        <w:t xml:space="preserve"> Marie Stopes Australia received a briefing from Women’s Health Victoria on the findings of the Royal Commission, which highlighted the omission of </w:t>
      </w:r>
      <w:r w:rsidR="003A783B">
        <w:t>r</w:t>
      </w:r>
      <w:r w:rsidR="003A783B" w:rsidRPr="00A618BE">
        <w:t xml:space="preserve">eproductive </w:t>
      </w:r>
      <w:r w:rsidR="003A783B">
        <w:t>c</w:t>
      </w:r>
      <w:r w:rsidR="003A783B" w:rsidRPr="00A618BE">
        <w:t>oercion</w:t>
      </w:r>
      <w:r w:rsidR="003A783B">
        <w:t xml:space="preserve"> </w:t>
      </w:r>
      <w:r w:rsidRPr="00A618BE">
        <w:t xml:space="preserve">from the scope of the Royal Commission. The briefing inspired an organisation-wide effort to address and undertake advocacy regarding this hidden issue that is so closely aligned to FV, IPV and SV. </w:t>
      </w:r>
    </w:p>
    <w:p w14:paraId="1A268D4B" w14:textId="54EE3D6F" w:rsidR="00581A5E" w:rsidRPr="00A618BE" w:rsidRDefault="00581A5E" w:rsidP="00D0581F">
      <w:r w:rsidRPr="00A618BE">
        <w:t xml:space="preserve">In August 2017, at the Children </w:t>
      </w:r>
      <w:r w:rsidR="003A783B">
        <w:t>b</w:t>
      </w:r>
      <w:r w:rsidRPr="00A618BE">
        <w:t xml:space="preserve">y Choice conference in Brisbane, Marie Stopes Australia brought together health practitioners, policy makers, politicians, academics, lawyers and journalists from across Australia with the aim of identifying critical gaps in Australian research, policy and practice responses to </w:t>
      </w:r>
      <w:r w:rsidR="000C4368">
        <w:t>r</w:t>
      </w:r>
      <w:r w:rsidR="000C4368" w:rsidRPr="00A618BE">
        <w:t xml:space="preserve">eproductive </w:t>
      </w:r>
      <w:r w:rsidR="000C4368">
        <w:t>c</w:t>
      </w:r>
      <w:r w:rsidR="000C4368" w:rsidRPr="00A618BE">
        <w:t>oercion</w:t>
      </w:r>
      <w:r w:rsidRPr="00A618BE">
        <w:t>.</w:t>
      </w:r>
    </w:p>
    <w:p w14:paraId="54074226" w14:textId="77777777" w:rsidR="00581A5E" w:rsidRPr="00A618BE" w:rsidRDefault="00581A5E" w:rsidP="00D0581F">
      <w:r w:rsidRPr="00A618BE">
        <w:t>Chaired by social commentator, writer and lecturer Jane Caro, subject matter experts took guests through a facilitated discussion to identify and map key interventions and gaps in:</w:t>
      </w:r>
    </w:p>
    <w:p w14:paraId="358185B8" w14:textId="05AEF144" w:rsidR="00581A5E" w:rsidRPr="00A618BE" w:rsidRDefault="00230B44" w:rsidP="00D0581F">
      <w:pPr>
        <w:pStyle w:val="ListParagraph"/>
        <w:numPr>
          <w:ilvl w:val="0"/>
          <w:numId w:val="10"/>
        </w:numPr>
        <w:spacing w:before="240" w:after="240"/>
      </w:pPr>
      <w:r>
        <w:t>r</w:t>
      </w:r>
      <w:r w:rsidR="00581A5E" w:rsidRPr="00A618BE">
        <w:t xml:space="preserve">esearch on </w:t>
      </w:r>
      <w:r w:rsidR="000C4368">
        <w:t>r</w:t>
      </w:r>
      <w:r w:rsidR="000C4368" w:rsidRPr="00A618BE">
        <w:t xml:space="preserve">eproductive </w:t>
      </w:r>
      <w:r w:rsidR="000C4368">
        <w:t>c</w:t>
      </w:r>
      <w:r w:rsidR="000C4368" w:rsidRPr="00A618BE">
        <w:t>oercion</w:t>
      </w:r>
      <w:r w:rsidR="00581A5E" w:rsidRPr="00A618BE">
        <w:t xml:space="preserve">, led by Children </w:t>
      </w:r>
      <w:r w:rsidR="000C4368">
        <w:t>b</w:t>
      </w:r>
      <w:r w:rsidR="00581A5E" w:rsidRPr="00A618BE">
        <w:t>y Choice, Liz Price</w:t>
      </w:r>
    </w:p>
    <w:p w14:paraId="44F3BC7C" w14:textId="5444836C" w:rsidR="00581A5E" w:rsidRPr="00A618BE" w:rsidRDefault="00230B44" w:rsidP="00D0581F">
      <w:pPr>
        <w:pStyle w:val="ListParagraph"/>
        <w:numPr>
          <w:ilvl w:val="0"/>
          <w:numId w:val="10"/>
        </w:numPr>
        <w:spacing w:before="240" w:after="240"/>
      </w:pPr>
      <w:r>
        <w:t>p</w:t>
      </w:r>
      <w:r w:rsidR="00581A5E" w:rsidRPr="00A618BE">
        <w:t xml:space="preserve">olicy responses to </w:t>
      </w:r>
      <w:r w:rsidR="000C4368">
        <w:t>r</w:t>
      </w:r>
      <w:r w:rsidR="000C4368" w:rsidRPr="00A618BE">
        <w:t xml:space="preserve">eproductive </w:t>
      </w:r>
      <w:r w:rsidR="000C4368">
        <w:t>c</w:t>
      </w:r>
      <w:r w:rsidR="000C4368" w:rsidRPr="00A618BE">
        <w:t>oercion</w:t>
      </w:r>
      <w:r w:rsidR="00581A5E" w:rsidRPr="00A618BE">
        <w:t>, led by then CEO of White Ribbon, Libby Davies</w:t>
      </w:r>
    </w:p>
    <w:p w14:paraId="5592B650" w14:textId="40D27ACC" w:rsidR="00581A5E" w:rsidRPr="00A618BE" w:rsidRDefault="00230B44" w:rsidP="00D0581F">
      <w:pPr>
        <w:pStyle w:val="ListParagraph"/>
        <w:numPr>
          <w:ilvl w:val="0"/>
          <w:numId w:val="10"/>
        </w:numPr>
        <w:spacing w:before="240" w:after="240"/>
      </w:pPr>
      <w:r>
        <w:t>p</w:t>
      </w:r>
      <w:r w:rsidR="00581A5E" w:rsidRPr="00A618BE">
        <w:t xml:space="preserve">ractice initiatives responding to </w:t>
      </w:r>
      <w:r w:rsidR="000C4368">
        <w:t>r</w:t>
      </w:r>
      <w:r w:rsidR="000C4368" w:rsidRPr="00A618BE">
        <w:t xml:space="preserve">eproductive </w:t>
      </w:r>
      <w:r w:rsidR="000C4368">
        <w:t>c</w:t>
      </w:r>
      <w:r w:rsidR="000C4368" w:rsidRPr="00A618BE">
        <w:t>oercion</w:t>
      </w:r>
      <w:r w:rsidR="00581A5E" w:rsidRPr="00A618BE">
        <w:t xml:space="preserve">, led by Marie Stopes Australia Medical Director, Dr Philip Goldstone. </w:t>
      </w:r>
    </w:p>
    <w:p w14:paraId="78691006" w14:textId="358FCB6A" w:rsidR="00230B44" w:rsidRDefault="00581A5E" w:rsidP="00D0581F">
      <w:r w:rsidRPr="00A618BE">
        <w:t xml:space="preserve">The discussion from the roundtable informed the development of </w:t>
      </w:r>
      <w:r w:rsidR="00230B44">
        <w:t>t</w:t>
      </w:r>
      <w:r w:rsidRPr="00A618BE">
        <w:t xml:space="preserve">erms of </w:t>
      </w:r>
      <w:r w:rsidR="00230B44">
        <w:t>r</w:t>
      </w:r>
      <w:r w:rsidRPr="00A618BE">
        <w:t xml:space="preserve">eference for the </w:t>
      </w:r>
      <w:r w:rsidR="00B56730">
        <w:t>white paper</w:t>
      </w:r>
      <w:r w:rsidRPr="00A618BE">
        <w:t xml:space="preserve"> and the subsequent consultation process. </w:t>
      </w:r>
    </w:p>
    <w:p w14:paraId="687B6A90" w14:textId="77777777" w:rsidR="00230B44" w:rsidRDefault="00230B44">
      <w:pPr>
        <w:spacing w:after="160" w:line="259" w:lineRule="auto"/>
      </w:pPr>
      <w:r>
        <w:br w:type="page"/>
      </w:r>
    </w:p>
    <w:tbl>
      <w:tblPr>
        <w:tblStyle w:val="LightList"/>
        <w:tblW w:w="0" w:type="auto"/>
        <w:tblBorders>
          <w:top w:val="none" w:sz="0" w:space="0" w:color="auto"/>
          <w:left w:val="none" w:sz="0" w:space="0" w:color="auto"/>
          <w:bottom w:val="none" w:sz="0" w:space="0" w:color="auto"/>
          <w:right w:val="none" w:sz="0" w:space="0" w:color="auto"/>
        </w:tblBorders>
        <w:shd w:val="clear" w:color="auto" w:fill="9BAF91"/>
        <w:tblLook w:val="04A0" w:firstRow="1" w:lastRow="0" w:firstColumn="1" w:lastColumn="0" w:noHBand="0" w:noVBand="1"/>
      </w:tblPr>
      <w:tblGrid>
        <w:gridCol w:w="9070"/>
      </w:tblGrid>
      <w:tr w:rsidR="00581A5E" w:rsidRPr="00A618BE" w14:paraId="554358E2" w14:textId="77777777" w:rsidTr="00230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shd w:val="clear" w:color="auto" w:fill="9BAF91"/>
          </w:tcPr>
          <w:p w14:paraId="7198A4C5" w14:textId="31AD9059" w:rsidR="00581A5E" w:rsidRPr="003A783B" w:rsidRDefault="00230B44" w:rsidP="00D0581F">
            <w:pPr>
              <w:rPr>
                <w:color w:val="auto"/>
              </w:rPr>
            </w:pPr>
            <w:r>
              <w:rPr>
                <w:color w:val="auto"/>
              </w:rPr>
              <w:lastRenderedPageBreak/>
              <w:t>“</w:t>
            </w:r>
            <w:r w:rsidR="00581A5E" w:rsidRPr="003A783B">
              <w:rPr>
                <w:color w:val="auto"/>
              </w:rPr>
              <w:t xml:space="preserve">As a provider of abortion care, the fundamental question we ask when we see each patient is this: is my patient in control of the decision she has made? </w:t>
            </w:r>
          </w:p>
          <w:p w14:paraId="07F61DAB" w14:textId="77777777" w:rsidR="00581A5E" w:rsidRPr="003A783B" w:rsidRDefault="00581A5E" w:rsidP="00D0581F">
            <w:pPr>
              <w:rPr>
                <w:color w:val="auto"/>
              </w:rPr>
            </w:pPr>
            <w:r w:rsidRPr="003A783B">
              <w:rPr>
                <w:color w:val="auto"/>
              </w:rPr>
              <w:t xml:space="preserve">Most of the time the answer is yes. </w:t>
            </w:r>
            <w:r w:rsidRPr="003A783B">
              <w:rPr>
                <w:color w:val="auto"/>
              </w:rPr>
              <w:tab/>
            </w:r>
          </w:p>
          <w:p w14:paraId="07DCE598" w14:textId="7EC5C75A" w:rsidR="00581A5E" w:rsidRPr="003A783B" w:rsidRDefault="00581A5E" w:rsidP="00D0581F">
            <w:pPr>
              <w:rPr>
                <w:color w:val="auto"/>
              </w:rPr>
            </w:pPr>
            <w:proofErr w:type="gramStart"/>
            <w:r w:rsidRPr="003A783B">
              <w:rPr>
                <w:color w:val="auto"/>
              </w:rPr>
              <w:t>However</w:t>
            </w:r>
            <w:proofErr w:type="gramEnd"/>
            <w:r w:rsidRPr="003A783B">
              <w:rPr>
                <w:color w:val="auto"/>
              </w:rPr>
              <w:t xml:space="preserve"> there are times when it is clear that there is coercion at play.</w:t>
            </w:r>
            <w:r w:rsidR="00230B44">
              <w:rPr>
                <w:color w:val="auto"/>
              </w:rPr>
              <w:t>”</w:t>
            </w:r>
          </w:p>
          <w:p w14:paraId="40609BBC" w14:textId="77777777" w:rsidR="00581A5E" w:rsidRPr="009665B2" w:rsidRDefault="00581A5E" w:rsidP="00D0581F">
            <w:r w:rsidRPr="003A783B">
              <w:rPr>
                <w:color w:val="auto"/>
              </w:rPr>
              <w:t>Dr Philip Goldstone, Medical Director Marie Stopes Australia</w:t>
            </w:r>
          </w:p>
        </w:tc>
      </w:tr>
    </w:tbl>
    <w:p w14:paraId="6D033FF7" w14:textId="77777777" w:rsidR="0084163D" w:rsidRDefault="0084163D" w:rsidP="00D0581F"/>
    <w:p w14:paraId="13B5AAEC" w14:textId="258D6121" w:rsidR="00581A5E" w:rsidRPr="00A618BE" w:rsidRDefault="00581A5E" w:rsidP="00D0581F">
      <w:r w:rsidRPr="00A618BE">
        <w:t xml:space="preserve">At the roundtable, Marie Stopes Australia publicly committed to continuing to lead a national exploration of the issue of </w:t>
      </w:r>
      <w:r w:rsidR="000C4368">
        <w:t>r</w:t>
      </w:r>
      <w:r w:rsidR="000C4368" w:rsidRPr="00A618BE">
        <w:t xml:space="preserve">eproductive </w:t>
      </w:r>
      <w:r w:rsidR="000C4368">
        <w:t>c</w:t>
      </w:r>
      <w:r w:rsidR="000C4368" w:rsidRPr="00A618BE">
        <w:t>oercion</w:t>
      </w:r>
      <w:r w:rsidRPr="00A618BE">
        <w:t xml:space="preserve">. As a sexual and reproductive health provider that operates nationally, Marie Stopes Australia is well placed to identify and respond to instances of </w:t>
      </w:r>
      <w:r w:rsidR="00194CC8">
        <w:t>r</w:t>
      </w:r>
      <w:r w:rsidR="00194CC8" w:rsidRPr="00A618BE">
        <w:t xml:space="preserve">eproductive </w:t>
      </w:r>
      <w:r w:rsidR="00194CC8">
        <w:t>c</w:t>
      </w:r>
      <w:r w:rsidR="00194CC8" w:rsidRPr="00A618BE">
        <w:t>oercion</w:t>
      </w:r>
      <w:r w:rsidR="00194CC8">
        <w:t xml:space="preserve"> </w:t>
      </w:r>
      <w:r w:rsidRPr="00A618BE">
        <w:t xml:space="preserve">particularly where forced pregnancy or forced abortions are concerned, but also in relation to contraception tampering. In the development of this </w:t>
      </w:r>
      <w:r w:rsidR="00B56730">
        <w:t>white paper</w:t>
      </w:r>
      <w:r w:rsidRPr="00A618BE">
        <w:t>, Marie Stopes Australia plays two roles:</w:t>
      </w:r>
    </w:p>
    <w:p w14:paraId="3B6AEAE3" w14:textId="3BD3E4F0" w:rsidR="00581A5E" w:rsidRPr="00A618BE" w:rsidRDefault="00581A5E" w:rsidP="00D0581F">
      <w:pPr>
        <w:pStyle w:val="ListParagraph"/>
        <w:numPr>
          <w:ilvl w:val="0"/>
          <w:numId w:val="12"/>
        </w:numPr>
        <w:spacing w:before="240" w:after="240"/>
      </w:pPr>
      <w:r w:rsidRPr="00A618BE">
        <w:t xml:space="preserve">The role of a healthcare provider that has a responsibility to respond to instances of </w:t>
      </w:r>
      <w:r w:rsidR="000C4368">
        <w:t>r</w:t>
      </w:r>
      <w:r w:rsidR="000C4368" w:rsidRPr="00A618BE">
        <w:t xml:space="preserve">eproductive </w:t>
      </w:r>
      <w:r w:rsidR="000C4368">
        <w:t>c</w:t>
      </w:r>
      <w:r w:rsidR="000C4368" w:rsidRPr="00A618BE">
        <w:t>oercion</w:t>
      </w:r>
      <w:r w:rsidRPr="00A618BE">
        <w:t>.</w:t>
      </w:r>
    </w:p>
    <w:p w14:paraId="0FC1E76D" w14:textId="46EA73EE" w:rsidR="001F4BA8" w:rsidRDefault="00581A5E" w:rsidP="00D0581F">
      <w:pPr>
        <w:pStyle w:val="ListParagraph"/>
        <w:numPr>
          <w:ilvl w:val="0"/>
          <w:numId w:val="12"/>
        </w:numPr>
        <w:spacing w:before="240" w:after="240"/>
      </w:pPr>
      <w:r w:rsidRPr="00A618BE">
        <w:t xml:space="preserve">The role of an advocate to increase awareness, understanding and help foster collaborative action to address </w:t>
      </w:r>
      <w:r w:rsidR="000C4368">
        <w:t>r</w:t>
      </w:r>
      <w:r w:rsidR="000C4368" w:rsidRPr="00A618BE">
        <w:t xml:space="preserve">eproductive </w:t>
      </w:r>
      <w:r w:rsidR="000C4368">
        <w:t>c</w:t>
      </w:r>
      <w:r w:rsidR="000C4368" w:rsidRPr="00A618BE">
        <w:t>oercion</w:t>
      </w:r>
      <w:r w:rsidR="000C4368">
        <w:t xml:space="preserve"> </w:t>
      </w:r>
      <w:r w:rsidRPr="00A618BE">
        <w:t>across multiple sectors.</w:t>
      </w:r>
    </w:p>
    <w:p w14:paraId="2B6E5CB0" w14:textId="77777777" w:rsidR="00230B44" w:rsidRDefault="00230B44" w:rsidP="00230B44">
      <w:pPr>
        <w:pStyle w:val="ListParagraph"/>
        <w:spacing w:before="240" w:after="240"/>
      </w:pPr>
    </w:p>
    <w:tbl>
      <w:tblPr>
        <w:tblStyle w:val="LightList"/>
        <w:tblW w:w="0" w:type="auto"/>
        <w:tblBorders>
          <w:top w:val="none" w:sz="0" w:space="0" w:color="auto"/>
          <w:left w:val="none" w:sz="0" w:space="0" w:color="auto"/>
          <w:bottom w:val="none" w:sz="0" w:space="0" w:color="auto"/>
          <w:right w:val="none" w:sz="0" w:space="0" w:color="auto"/>
        </w:tblBorders>
        <w:shd w:val="clear" w:color="auto" w:fill="9BAF91"/>
        <w:tblLook w:val="04A0" w:firstRow="1" w:lastRow="0" w:firstColumn="1" w:lastColumn="0" w:noHBand="0" w:noVBand="1"/>
      </w:tblPr>
      <w:tblGrid>
        <w:gridCol w:w="9070"/>
      </w:tblGrid>
      <w:tr w:rsidR="00581A5E" w:rsidRPr="00A618BE" w14:paraId="5DCF5063" w14:textId="77777777" w:rsidTr="00230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shd w:val="clear" w:color="auto" w:fill="9BAF91"/>
          </w:tcPr>
          <w:p w14:paraId="1CD7F5B9" w14:textId="06AA49CE" w:rsidR="00581A5E" w:rsidRPr="003A783B" w:rsidRDefault="00230B44" w:rsidP="00D0581F">
            <w:pPr>
              <w:rPr>
                <w:color w:val="auto"/>
              </w:rPr>
            </w:pPr>
            <w:r>
              <w:rPr>
                <w:color w:val="auto"/>
              </w:rPr>
              <w:t>“</w:t>
            </w:r>
            <w:r w:rsidR="00581A5E" w:rsidRPr="003A783B">
              <w:rPr>
                <w:color w:val="auto"/>
              </w:rPr>
              <w:t>If we are to truly help Australians take control of their sexual and reproductive health and rights, we need to intimately understand the forces that can interfere with autonomy and rights. We need to do our best to make sure we know how to remove barriers and support people so the decisions they make are theirs and theirs alone. This is the heart of our advocacy work.</w:t>
            </w:r>
            <w:r>
              <w:rPr>
                <w:color w:val="auto"/>
              </w:rPr>
              <w:t>”</w:t>
            </w:r>
            <w:r w:rsidR="00581A5E" w:rsidRPr="003A783B">
              <w:rPr>
                <w:color w:val="auto"/>
              </w:rPr>
              <w:t xml:space="preserve"> </w:t>
            </w:r>
          </w:p>
          <w:p w14:paraId="23FA8BBB" w14:textId="76715363" w:rsidR="00581A5E" w:rsidRPr="00A618BE" w:rsidRDefault="00581A5E" w:rsidP="00D0581F">
            <w:r w:rsidRPr="003A783B">
              <w:rPr>
                <w:color w:val="auto"/>
              </w:rPr>
              <w:t>Michelle Thompson,</w:t>
            </w:r>
            <w:r w:rsidR="003A783B">
              <w:rPr>
                <w:color w:val="auto"/>
              </w:rPr>
              <w:t xml:space="preserve"> Former</w:t>
            </w:r>
            <w:r w:rsidRPr="003A783B">
              <w:rPr>
                <w:color w:val="auto"/>
              </w:rPr>
              <w:t xml:space="preserve"> CEO Marie Stopes Australia</w:t>
            </w:r>
          </w:p>
        </w:tc>
      </w:tr>
    </w:tbl>
    <w:p w14:paraId="4E28E687" w14:textId="77777777" w:rsidR="004D500A" w:rsidRDefault="004D500A" w:rsidP="00D0581F">
      <w:pPr>
        <w:spacing w:after="160"/>
        <w:rPr>
          <w:rFonts w:eastAsiaTheme="majorEastAsia" w:cstheme="majorBidi"/>
          <w:b/>
          <w:sz w:val="32"/>
          <w:szCs w:val="32"/>
        </w:rPr>
      </w:pPr>
      <w:bookmarkStart w:id="87" w:name="_Toc530573346"/>
      <w:r>
        <w:br w:type="page"/>
      </w:r>
    </w:p>
    <w:p w14:paraId="7588B953" w14:textId="61567DE7" w:rsidR="00581A5E" w:rsidRPr="009665B2" w:rsidRDefault="000C4368" w:rsidP="00D0581F">
      <w:pPr>
        <w:pStyle w:val="Heading1"/>
        <w:spacing w:line="276" w:lineRule="auto"/>
      </w:pPr>
      <w:bookmarkStart w:id="88" w:name="_Toc57368592"/>
      <w:r>
        <w:lastRenderedPageBreak/>
        <w:t xml:space="preserve">5. </w:t>
      </w:r>
      <w:bookmarkEnd w:id="87"/>
      <w:r>
        <w:t>Purpose and scope</w:t>
      </w:r>
      <w:bookmarkEnd w:id="88"/>
    </w:p>
    <w:p w14:paraId="193A9E9D" w14:textId="77777777" w:rsidR="00581A5E" w:rsidRPr="00A618BE" w:rsidRDefault="00581A5E" w:rsidP="00D0581F">
      <w:pPr>
        <w:pStyle w:val="Heading2"/>
      </w:pPr>
      <w:bookmarkStart w:id="89" w:name="_Toc530573347"/>
      <w:bookmarkStart w:id="90" w:name="_Toc57368593"/>
      <w:r w:rsidRPr="00A618BE">
        <w:t>Aims</w:t>
      </w:r>
      <w:bookmarkEnd w:id="89"/>
      <w:bookmarkEnd w:id="90"/>
    </w:p>
    <w:p w14:paraId="78E3B171" w14:textId="3DC8FCBB" w:rsidR="00581A5E" w:rsidRPr="00A618BE" w:rsidRDefault="00581A5E" w:rsidP="00D0581F">
      <w:r w:rsidRPr="00A618BE">
        <w:t xml:space="preserve">The purpose and scope of this </w:t>
      </w:r>
      <w:r w:rsidR="000C4368" w:rsidRPr="00230B44">
        <w:rPr>
          <w:i/>
          <w:iCs/>
        </w:rPr>
        <w:t>Hidden Forces</w:t>
      </w:r>
      <w:r w:rsidR="000C4368" w:rsidRPr="00A618BE">
        <w:t xml:space="preserve"> </w:t>
      </w:r>
      <w:r w:rsidR="000C4368">
        <w:t>w</w:t>
      </w:r>
      <w:r w:rsidRPr="00A618BE">
        <w:t xml:space="preserve">hite </w:t>
      </w:r>
      <w:r w:rsidR="000C4368">
        <w:t>p</w:t>
      </w:r>
      <w:r w:rsidR="000C4368" w:rsidRPr="00A618BE">
        <w:t xml:space="preserve">aper </w:t>
      </w:r>
      <w:r w:rsidRPr="00A618BE">
        <w:t xml:space="preserve">were developed through consultation at the initial roundtable at the Children </w:t>
      </w:r>
      <w:r w:rsidR="000C4368">
        <w:t>b</w:t>
      </w:r>
      <w:r w:rsidRPr="00A618BE">
        <w:t xml:space="preserve">y Choice conference in August 2017.  </w:t>
      </w:r>
    </w:p>
    <w:p w14:paraId="521B3609" w14:textId="7295A0FF" w:rsidR="00581A5E" w:rsidRPr="00A618BE" w:rsidRDefault="00581A5E" w:rsidP="00D0581F">
      <w:r w:rsidRPr="00A618BE">
        <w:t>This</w:t>
      </w:r>
      <w:r w:rsidR="000C4368">
        <w:t xml:space="preserve"> </w:t>
      </w:r>
      <w:r w:rsidR="000C4368" w:rsidRPr="00230B44">
        <w:rPr>
          <w:i/>
          <w:iCs/>
        </w:rPr>
        <w:t>Hidden Forces</w:t>
      </w:r>
      <w:r w:rsidRPr="00A618BE">
        <w:t xml:space="preserve"> </w:t>
      </w:r>
      <w:r w:rsidR="000C4368">
        <w:t>w</w:t>
      </w:r>
      <w:r w:rsidRPr="00A618BE">
        <w:t xml:space="preserve">hite </w:t>
      </w:r>
      <w:r w:rsidR="000C4368">
        <w:t>p</w:t>
      </w:r>
      <w:r w:rsidRPr="00A618BE">
        <w:t>aper aims to:</w:t>
      </w:r>
    </w:p>
    <w:p w14:paraId="78F4C604" w14:textId="714E490D" w:rsidR="00581A5E" w:rsidRPr="00A618BE" w:rsidRDefault="00581A5E" w:rsidP="00D0581F">
      <w:pPr>
        <w:pStyle w:val="ListParagraph"/>
        <w:numPr>
          <w:ilvl w:val="0"/>
          <w:numId w:val="9"/>
        </w:numPr>
        <w:spacing w:before="240" w:after="240"/>
      </w:pPr>
      <w:r w:rsidRPr="00A618BE">
        <w:t xml:space="preserve">Capture the most recent research evidence on </w:t>
      </w:r>
      <w:r w:rsidR="000C4368">
        <w:t>r</w:t>
      </w:r>
      <w:r w:rsidR="000C4368" w:rsidRPr="00A618BE">
        <w:t xml:space="preserve">eproductive </w:t>
      </w:r>
      <w:r w:rsidR="000C4368">
        <w:t>c</w:t>
      </w:r>
      <w:r w:rsidR="000C4368" w:rsidRPr="00A618BE">
        <w:t>oercion</w:t>
      </w:r>
      <w:r w:rsidR="000C4368">
        <w:t xml:space="preserve"> </w:t>
      </w:r>
      <w:r w:rsidRPr="00A618BE">
        <w:t>in Australia and internationally.</w:t>
      </w:r>
    </w:p>
    <w:p w14:paraId="615D83FB" w14:textId="77777777" w:rsidR="00581A5E" w:rsidRPr="00A618BE" w:rsidRDefault="00581A5E" w:rsidP="00D0581F">
      <w:pPr>
        <w:pStyle w:val="ListParagraph"/>
        <w:numPr>
          <w:ilvl w:val="0"/>
          <w:numId w:val="9"/>
        </w:numPr>
        <w:spacing w:before="240" w:after="240"/>
      </w:pPr>
      <w:r w:rsidRPr="00A618BE">
        <w:t>Identify gaps in our knowledge from an Australia context.</w:t>
      </w:r>
    </w:p>
    <w:p w14:paraId="5B9D3030" w14:textId="63555FA5" w:rsidR="00581A5E" w:rsidRPr="00A618BE" w:rsidRDefault="00581A5E" w:rsidP="00D0581F">
      <w:pPr>
        <w:pStyle w:val="ListParagraph"/>
        <w:numPr>
          <w:ilvl w:val="0"/>
          <w:numId w:val="9"/>
        </w:numPr>
        <w:spacing w:before="240" w:after="240"/>
      </w:pPr>
      <w:r w:rsidRPr="00A618BE">
        <w:t xml:space="preserve">Articulate the social and public health aspects of </w:t>
      </w:r>
      <w:r w:rsidR="000C4368">
        <w:t>r</w:t>
      </w:r>
      <w:r w:rsidR="000C4368" w:rsidRPr="00A618BE">
        <w:t xml:space="preserve">eproductive </w:t>
      </w:r>
      <w:r w:rsidR="000C4368">
        <w:t>c</w:t>
      </w:r>
      <w:r w:rsidR="000C4368" w:rsidRPr="00A618BE">
        <w:t>oercion</w:t>
      </w:r>
      <w:r w:rsidRPr="00A618BE">
        <w:t>.</w:t>
      </w:r>
    </w:p>
    <w:p w14:paraId="384E92E1" w14:textId="5D433ABF" w:rsidR="00581A5E" w:rsidRPr="00A618BE" w:rsidRDefault="00581A5E" w:rsidP="00D0581F">
      <w:pPr>
        <w:pStyle w:val="ListParagraph"/>
        <w:numPr>
          <w:ilvl w:val="0"/>
          <w:numId w:val="9"/>
        </w:numPr>
        <w:spacing w:before="240" w:after="240"/>
      </w:pPr>
      <w:r w:rsidRPr="00A618BE">
        <w:t xml:space="preserve">Outline recommendations for addressing </w:t>
      </w:r>
      <w:r w:rsidR="000C4368">
        <w:t>r</w:t>
      </w:r>
      <w:r w:rsidR="000C4368" w:rsidRPr="00A618BE">
        <w:t xml:space="preserve">eproductive </w:t>
      </w:r>
      <w:r w:rsidR="000C4368">
        <w:t>c</w:t>
      </w:r>
      <w:r w:rsidR="000C4368" w:rsidRPr="00A618BE">
        <w:t>oercion</w:t>
      </w:r>
      <w:r w:rsidR="000C4368">
        <w:t xml:space="preserve"> </w:t>
      </w:r>
      <w:r w:rsidRPr="00A618BE">
        <w:t xml:space="preserve">from an interpersonal and structural perspective. </w:t>
      </w:r>
    </w:p>
    <w:p w14:paraId="39659BBA" w14:textId="77318A40" w:rsidR="00581A5E" w:rsidRPr="00A618BE" w:rsidRDefault="00581A5E" w:rsidP="00D0581F">
      <w:pPr>
        <w:pStyle w:val="Heading2"/>
      </w:pPr>
      <w:bookmarkStart w:id="91" w:name="_Toc530573348"/>
      <w:bookmarkStart w:id="92" w:name="_Toc57368594"/>
      <w:r w:rsidRPr="00A618BE">
        <w:t xml:space="preserve">Terms of </w:t>
      </w:r>
      <w:r w:rsidR="000C4368">
        <w:t>r</w:t>
      </w:r>
      <w:r w:rsidRPr="00A618BE">
        <w:t>eference</w:t>
      </w:r>
      <w:bookmarkEnd w:id="91"/>
      <w:bookmarkEnd w:id="92"/>
    </w:p>
    <w:p w14:paraId="0A140E2F" w14:textId="3C1F1513" w:rsidR="00581A5E" w:rsidRPr="00A618BE" w:rsidRDefault="00581A5E" w:rsidP="00D0581F">
      <w:r w:rsidRPr="00A618BE">
        <w:t xml:space="preserve">The </w:t>
      </w:r>
      <w:r w:rsidR="000C4368">
        <w:t>t</w:t>
      </w:r>
      <w:r w:rsidRPr="00A618BE">
        <w:t xml:space="preserve">erms of </w:t>
      </w:r>
      <w:r w:rsidR="00797CC1">
        <w:t>r</w:t>
      </w:r>
      <w:r w:rsidRPr="00A618BE">
        <w:t>eference called for public submissions and a review of the literature focused on three key areas:</w:t>
      </w:r>
    </w:p>
    <w:p w14:paraId="3E70CBDC" w14:textId="0F784775" w:rsidR="00581A5E" w:rsidRPr="00A618BE" w:rsidRDefault="00581A5E" w:rsidP="00D0581F">
      <w:pPr>
        <w:pStyle w:val="ListParagraph"/>
        <w:numPr>
          <w:ilvl w:val="0"/>
          <w:numId w:val="6"/>
        </w:numPr>
        <w:spacing w:before="240" w:after="240"/>
      </w:pPr>
      <w:r w:rsidRPr="00A618BE">
        <w:t xml:space="preserve">Existing knowledge, practices and networks that address </w:t>
      </w:r>
      <w:r w:rsidR="000C4368">
        <w:t>r</w:t>
      </w:r>
      <w:r w:rsidR="000C4368" w:rsidRPr="00A618BE">
        <w:t xml:space="preserve">eproductive </w:t>
      </w:r>
      <w:r w:rsidR="000C4368">
        <w:t>c</w:t>
      </w:r>
      <w:r w:rsidR="000C4368" w:rsidRPr="00A618BE">
        <w:t>oercion</w:t>
      </w:r>
      <w:r w:rsidRPr="00A618BE">
        <w:t>, including:</w:t>
      </w:r>
    </w:p>
    <w:p w14:paraId="084985E6" w14:textId="3335CF97" w:rsidR="00581A5E" w:rsidRPr="00A618BE" w:rsidRDefault="00F37D25" w:rsidP="00D0581F">
      <w:pPr>
        <w:pStyle w:val="ListParagraph"/>
        <w:numPr>
          <w:ilvl w:val="0"/>
          <w:numId w:val="33"/>
        </w:numPr>
        <w:spacing w:before="240" w:after="240"/>
      </w:pPr>
      <w:r>
        <w:t>i</w:t>
      </w:r>
      <w:r w:rsidR="00581A5E" w:rsidRPr="00A618BE">
        <w:t>nternational examples, models and screening tools</w:t>
      </w:r>
    </w:p>
    <w:p w14:paraId="07A28D45" w14:textId="7E0A8F80" w:rsidR="00581A5E" w:rsidRPr="00A618BE" w:rsidRDefault="00F37D25" w:rsidP="00D0581F">
      <w:pPr>
        <w:pStyle w:val="ListParagraph"/>
        <w:numPr>
          <w:ilvl w:val="0"/>
          <w:numId w:val="33"/>
        </w:numPr>
        <w:spacing w:before="240" w:after="240"/>
      </w:pPr>
      <w:r>
        <w:t>e</w:t>
      </w:r>
      <w:r w:rsidR="00581A5E" w:rsidRPr="00A618BE">
        <w:t>xisting local referral pathways and support networks</w:t>
      </w:r>
    </w:p>
    <w:p w14:paraId="021232D6" w14:textId="2F812874" w:rsidR="00581A5E" w:rsidRPr="00A618BE" w:rsidRDefault="00F37D25" w:rsidP="00D0581F">
      <w:pPr>
        <w:pStyle w:val="ListParagraph"/>
        <w:numPr>
          <w:ilvl w:val="0"/>
          <w:numId w:val="33"/>
        </w:numPr>
        <w:spacing w:before="240" w:after="240"/>
      </w:pPr>
      <w:r>
        <w:t>e</w:t>
      </w:r>
      <w:r w:rsidR="00581A5E" w:rsidRPr="00A618BE">
        <w:t xml:space="preserve">xisting research (local or international) on </w:t>
      </w:r>
      <w:r w:rsidR="000C4368">
        <w:t>r</w:t>
      </w:r>
      <w:r w:rsidR="000C4368" w:rsidRPr="00A618BE">
        <w:t xml:space="preserve">eproductive </w:t>
      </w:r>
      <w:r w:rsidR="000C4368">
        <w:t>c</w:t>
      </w:r>
      <w:r w:rsidR="000C4368" w:rsidRPr="00A618BE">
        <w:t>oercion</w:t>
      </w:r>
      <w:r w:rsidR="00581A5E" w:rsidRPr="00A618BE">
        <w:t>.</w:t>
      </w:r>
    </w:p>
    <w:p w14:paraId="0F34FA03" w14:textId="77777777" w:rsidR="00581A5E" w:rsidRPr="00A618BE" w:rsidRDefault="00581A5E" w:rsidP="00D0581F">
      <w:pPr>
        <w:pStyle w:val="ListParagraph"/>
      </w:pPr>
    </w:p>
    <w:p w14:paraId="7E67F664" w14:textId="77777777" w:rsidR="00581A5E" w:rsidRPr="00A618BE" w:rsidRDefault="00581A5E" w:rsidP="00D0581F">
      <w:pPr>
        <w:pStyle w:val="ListParagraph"/>
        <w:numPr>
          <w:ilvl w:val="0"/>
          <w:numId w:val="6"/>
        </w:numPr>
        <w:spacing w:before="240" w:after="240"/>
      </w:pPr>
      <w:r w:rsidRPr="00A618BE">
        <w:t>Key recommendations regarding actions to address gaps in:</w:t>
      </w:r>
    </w:p>
    <w:p w14:paraId="75645F19" w14:textId="4613226F" w:rsidR="00581A5E" w:rsidRPr="00A618BE" w:rsidRDefault="00F37D25" w:rsidP="00D0581F">
      <w:pPr>
        <w:pStyle w:val="ListParagraph"/>
        <w:numPr>
          <w:ilvl w:val="0"/>
          <w:numId w:val="33"/>
        </w:numPr>
        <w:spacing w:before="240" w:after="240"/>
      </w:pPr>
      <w:r>
        <w:t>r</w:t>
      </w:r>
      <w:r w:rsidR="00581A5E" w:rsidRPr="00A618BE">
        <w:t xml:space="preserve">esearch, including compilation of data to assess the scope, </w:t>
      </w:r>
      <w:proofErr w:type="gramStart"/>
      <w:r w:rsidR="00581A5E" w:rsidRPr="00A618BE">
        <w:t>scale</w:t>
      </w:r>
      <w:proofErr w:type="gramEnd"/>
      <w:r w:rsidR="00581A5E" w:rsidRPr="00A618BE">
        <w:t xml:space="preserve"> and concentration of </w:t>
      </w:r>
      <w:r w:rsidR="000C4368">
        <w:t>r</w:t>
      </w:r>
      <w:r w:rsidR="000C4368" w:rsidRPr="00A618BE">
        <w:t xml:space="preserve">eproductive </w:t>
      </w:r>
      <w:r w:rsidR="000C4368">
        <w:t>c</w:t>
      </w:r>
      <w:r w:rsidR="000C4368" w:rsidRPr="00A618BE">
        <w:t>oercion</w:t>
      </w:r>
      <w:r w:rsidR="000C4368">
        <w:t xml:space="preserve"> </w:t>
      </w:r>
      <w:r w:rsidR="00581A5E" w:rsidRPr="00A618BE">
        <w:t>across the nation</w:t>
      </w:r>
    </w:p>
    <w:p w14:paraId="26A13D31" w14:textId="69C72332" w:rsidR="00581A5E" w:rsidRPr="00A618BE" w:rsidRDefault="00F37D25" w:rsidP="00D0581F">
      <w:pPr>
        <w:pStyle w:val="ListParagraph"/>
        <w:numPr>
          <w:ilvl w:val="0"/>
          <w:numId w:val="33"/>
        </w:numPr>
        <w:spacing w:before="240" w:after="240"/>
      </w:pPr>
      <w:r>
        <w:t>p</w:t>
      </w:r>
      <w:r w:rsidR="00581A5E" w:rsidRPr="00A618BE">
        <w:t>olicy that is evidence-based and provides for practical actions that will address the issue throughout the health system and community sector</w:t>
      </w:r>
    </w:p>
    <w:p w14:paraId="12B54510" w14:textId="2B7AC86F" w:rsidR="00581A5E" w:rsidRPr="00A618BE" w:rsidRDefault="00F37D25" w:rsidP="00D0581F">
      <w:pPr>
        <w:pStyle w:val="ListParagraph"/>
        <w:numPr>
          <w:ilvl w:val="0"/>
          <w:numId w:val="33"/>
        </w:numPr>
        <w:spacing w:before="240" w:after="240"/>
      </w:pPr>
      <w:r>
        <w:t>s</w:t>
      </w:r>
      <w:r w:rsidR="00581A5E" w:rsidRPr="00A618BE">
        <w:t xml:space="preserve">ervice delivery, particularly in relation to abortion providers, so that women </w:t>
      </w:r>
      <w:r w:rsidR="009E1676">
        <w:t xml:space="preserve">and pregnant people </w:t>
      </w:r>
      <w:r w:rsidR="00581A5E" w:rsidRPr="00A618BE">
        <w:t xml:space="preserve">requiring assistance have clear, </w:t>
      </w:r>
      <w:proofErr w:type="gramStart"/>
      <w:r w:rsidR="00581A5E" w:rsidRPr="00A618BE">
        <w:t>supportive</w:t>
      </w:r>
      <w:proofErr w:type="gramEnd"/>
      <w:r w:rsidR="00581A5E" w:rsidRPr="00A618BE">
        <w:t xml:space="preserve"> and consistently high quality referral pathways. </w:t>
      </w:r>
    </w:p>
    <w:p w14:paraId="4F273C7F" w14:textId="77777777" w:rsidR="00581A5E" w:rsidRPr="00A618BE" w:rsidRDefault="00581A5E" w:rsidP="00D0581F">
      <w:pPr>
        <w:pStyle w:val="ListParagraph"/>
      </w:pPr>
    </w:p>
    <w:p w14:paraId="2F48AB21" w14:textId="77777777" w:rsidR="00581A5E" w:rsidRPr="00A618BE" w:rsidRDefault="00581A5E" w:rsidP="00D0581F">
      <w:pPr>
        <w:pStyle w:val="ListParagraph"/>
        <w:numPr>
          <w:ilvl w:val="0"/>
          <w:numId w:val="6"/>
        </w:numPr>
        <w:spacing w:before="240" w:after="240"/>
      </w:pPr>
      <w:r w:rsidRPr="00A618BE">
        <w:t>Future opportunities, including:</w:t>
      </w:r>
    </w:p>
    <w:p w14:paraId="11D9E669" w14:textId="18B6DEE4" w:rsidR="00581A5E" w:rsidRPr="00A618BE" w:rsidRDefault="00F37D25" w:rsidP="00D0581F">
      <w:pPr>
        <w:pStyle w:val="ListParagraph"/>
        <w:numPr>
          <w:ilvl w:val="0"/>
          <w:numId w:val="33"/>
        </w:numPr>
        <w:spacing w:before="240" w:after="240"/>
      </w:pPr>
      <w:r>
        <w:t>c</w:t>
      </w:r>
      <w:r w:rsidR="00581A5E" w:rsidRPr="00A618BE">
        <w:t>ross-sectoral collaboration</w:t>
      </w:r>
    </w:p>
    <w:p w14:paraId="6F690051" w14:textId="671B2DBF" w:rsidR="00581A5E" w:rsidRPr="00A618BE" w:rsidRDefault="00F37D25" w:rsidP="00D0581F">
      <w:pPr>
        <w:pStyle w:val="ListParagraph"/>
        <w:numPr>
          <w:ilvl w:val="0"/>
          <w:numId w:val="33"/>
        </w:numPr>
        <w:spacing w:before="240" w:after="240"/>
      </w:pPr>
      <w:r>
        <w:t>a</w:t>
      </w:r>
      <w:r w:rsidR="00581A5E" w:rsidRPr="00A618BE">
        <w:t>pplication of innovative models and approaches from other fields.</w:t>
      </w:r>
    </w:p>
    <w:p w14:paraId="731E151E" w14:textId="77777777" w:rsidR="004D500A" w:rsidRDefault="004D500A" w:rsidP="00D0581F">
      <w:pPr>
        <w:spacing w:after="160"/>
        <w:rPr>
          <w:rFonts w:eastAsiaTheme="majorEastAsia" w:cstheme="majorBidi"/>
          <w:b/>
          <w:sz w:val="32"/>
          <w:szCs w:val="32"/>
        </w:rPr>
      </w:pPr>
      <w:r>
        <w:br w:type="page"/>
      </w:r>
    </w:p>
    <w:p w14:paraId="2A3E09C8" w14:textId="66E17A4F" w:rsidR="00581A5E" w:rsidRPr="00A618BE" w:rsidRDefault="000C4368" w:rsidP="00D0581F">
      <w:pPr>
        <w:pStyle w:val="Heading1"/>
        <w:spacing w:line="276" w:lineRule="auto"/>
      </w:pPr>
      <w:bookmarkStart w:id="93" w:name="_Toc57368595"/>
      <w:r>
        <w:lastRenderedPageBreak/>
        <w:t xml:space="preserve">6. </w:t>
      </w:r>
      <w:bookmarkStart w:id="94" w:name="_Toc530573349"/>
      <w:r w:rsidRPr="00A618BE">
        <w:t>A</w:t>
      </w:r>
      <w:r>
        <w:t>pproach</w:t>
      </w:r>
      <w:r w:rsidRPr="00A618BE">
        <w:t xml:space="preserve"> </w:t>
      </w:r>
      <w:r w:rsidR="00C96FE6">
        <w:t>t</w:t>
      </w:r>
      <w:r>
        <w:t>o</w:t>
      </w:r>
      <w:r w:rsidR="00581A5E" w:rsidRPr="00A618BE">
        <w:t xml:space="preserve"> </w:t>
      </w:r>
      <w:r w:rsidR="00C96FE6">
        <w:t>d</w:t>
      </w:r>
      <w:r>
        <w:t>eveloping</w:t>
      </w:r>
      <w:r w:rsidR="00581A5E" w:rsidRPr="00A618BE">
        <w:t xml:space="preserve"> </w:t>
      </w:r>
      <w:bookmarkEnd w:id="94"/>
      <w:r w:rsidRPr="00F37D25">
        <w:rPr>
          <w:i/>
          <w:iCs/>
        </w:rPr>
        <w:t>Hidden Forces</w:t>
      </w:r>
      <w:bookmarkEnd w:id="93"/>
    </w:p>
    <w:p w14:paraId="2909F5EE" w14:textId="2C6ECB2F" w:rsidR="00581A5E" w:rsidRPr="00A618BE" w:rsidRDefault="00581A5E" w:rsidP="00D0581F">
      <w:pPr>
        <w:pStyle w:val="Heading2"/>
      </w:pPr>
      <w:bookmarkStart w:id="95" w:name="_Toc530573350"/>
      <w:bookmarkStart w:id="96" w:name="_Toc57368596"/>
      <w:r w:rsidRPr="00A618BE">
        <w:t xml:space="preserve">Guiding </w:t>
      </w:r>
      <w:r w:rsidR="000C4368">
        <w:t>p</w:t>
      </w:r>
      <w:r w:rsidRPr="00A618BE">
        <w:t>rinciples</w:t>
      </w:r>
      <w:bookmarkEnd w:id="95"/>
      <w:bookmarkEnd w:id="96"/>
    </w:p>
    <w:p w14:paraId="7E2C6EBE" w14:textId="50FFF7A5" w:rsidR="00581A5E" w:rsidRPr="00A618BE" w:rsidRDefault="000C4368" w:rsidP="00D0581F">
      <w:r>
        <w:t>R</w:t>
      </w:r>
      <w:r w:rsidRPr="00A618BE">
        <w:t xml:space="preserve">eproductive </w:t>
      </w:r>
      <w:r>
        <w:t>c</w:t>
      </w:r>
      <w:r w:rsidRPr="00A618BE">
        <w:t>oercion</w:t>
      </w:r>
      <w:r>
        <w:t xml:space="preserve"> </w:t>
      </w:r>
      <w:r w:rsidR="00581A5E" w:rsidRPr="00A618BE">
        <w:t xml:space="preserve">is a social and public health problem that requires a whole-of-community, intergenerational response.  Responses to </w:t>
      </w:r>
      <w:r>
        <w:t>r</w:t>
      </w:r>
      <w:r w:rsidRPr="00A618BE">
        <w:t xml:space="preserve">eproductive </w:t>
      </w:r>
      <w:r>
        <w:t>c</w:t>
      </w:r>
      <w:r w:rsidRPr="00A618BE">
        <w:t>oercion</w:t>
      </w:r>
      <w:r w:rsidR="00581A5E" w:rsidRPr="00A618BE">
        <w:t xml:space="preserve">, like responses to FV, IPV and SV, also require co-operation between multiple organisations across multiple sectors. Diverse individual and organisational stakeholders have co-operated to bring </w:t>
      </w:r>
      <w:r w:rsidRPr="00F37D25">
        <w:rPr>
          <w:i/>
          <w:iCs/>
        </w:rPr>
        <w:t>Hidden Forces</w:t>
      </w:r>
      <w:r w:rsidR="00581A5E" w:rsidRPr="00A618BE">
        <w:t xml:space="preserve"> to fruition.  </w:t>
      </w:r>
    </w:p>
    <w:p w14:paraId="09A17393" w14:textId="2E5E59C9" w:rsidR="00581A5E" w:rsidRPr="00A618BE" w:rsidRDefault="000C4368" w:rsidP="00D0581F">
      <w:r w:rsidRPr="00F37D25">
        <w:rPr>
          <w:i/>
          <w:iCs/>
        </w:rPr>
        <w:t>Hidden Forces</w:t>
      </w:r>
      <w:r w:rsidR="00581A5E" w:rsidRPr="00A618BE">
        <w:t xml:space="preserve"> therefore seeks to draw together many forms of knowledge and evidence in order to shine a light on </w:t>
      </w:r>
      <w:r>
        <w:t>r</w:t>
      </w:r>
      <w:r w:rsidRPr="00A618BE">
        <w:t xml:space="preserve">eproductive </w:t>
      </w:r>
      <w:r>
        <w:t>c</w:t>
      </w:r>
      <w:r w:rsidRPr="00A618BE">
        <w:t>oercion</w:t>
      </w:r>
      <w:r>
        <w:t xml:space="preserve"> </w:t>
      </w:r>
      <w:r w:rsidR="00581A5E" w:rsidRPr="00A618BE">
        <w:t>in Australia, consolidate the current body of knowledge and make recommendations on strategies to improve our understanding</w:t>
      </w:r>
      <w:r w:rsidR="00581A5E">
        <w:t xml:space="preserve"> of</w:t>
      </w:r>
      <w:r w:rsidR="00581A5E" w:rsidRPr="00A618BE">
        <w:t xml:space="preserve"> response</w:t>
      </w:r>
      <w:r w:rsidR="00581A5E">
        <w:t>s</w:t>
      </w:r>
      <w:r w:rsidR="00581A5E" w:rsidRPr="00A618BE">
        <w:t xml:space="preserve"> </w:t>
      </w:r>
      <w:r w:rsidR="00581A5E">
        <w:t xml:space="preserve">to </w:t>
      </w:r>
      <w:r w:rsidR="00581A5E" w:rsidRPr="00A618BE">
        <w:t xml:space="preserve">and prevention of </w:t>
      </w:r>
      <w:r>
        <w:t>r</w:t>
      </w:r>
      <w:r w:rsidRPr="00A618BE">
        <w:t xml:space="preserve">eproductive </w:t>
      </w:r>
      <w:r>
        <w:t>c</w:t>
      </w:r>
      <w:r w:rsidRPr="00A618BE">
        <w:t>oercion</w:t>
      </w:r>
      <w:r w:rsidR="00581A5E" w:rsidRPr="00A618BE">
        <w:t>.</w:t>
      </w:r>
    </w:p>
    <w:p w14:paraId="11DB8E52" w14:textId="37CC4960" w:rsidR="00581A5E" w:rsidRPr="00A618BE" w:rsidRDefault="00581A5E" w:rsidP="00D0581F">
      <w:r w:rsidRPr="00A618BE">
        <w:t xml:space="preserve">Prevention and intervention are most relevant, </w:t>
      </w:r>
      <w:proofErr w:type="gramStart"/>
      <w:r w:rsidRPr="00A618BE">
        <w:t>effective</w:t>
      </w:r>
      <w:proofErr w:type="gramEnd"/>
      <w:r w:rsidRPr="00A618BE">
        <w:t xml:space="preserve"> and sustainable when communities are involved in their development. Marie Stopes Australia acknowledges the generosity of all organisations and individuals who have contributed to </w:t>
      </w:r>
      <w:r w:rsidR="000C4368" w:rsidRPr="00F37D25">
        <w:rPr>
          <w:i/>
          <w:iCs/>
        </w:rPr>
        <w:t>Hidden Forces</w:t>
      </w:r>
      <w:r w:rsidRPr="00A618BE">
        <w:t>,</w:t>
      </w:r>
      <w:r>
        <w:t xml:space="preserve"> which is the culmination of 20</w:t>
      </w:r>
      <w:r w:rsidRPr="00A618BE">
        <w:t xml:space="preserve"> months engagement with individuals affected by </w:t>
      </w:r>
      <w:r w:rsidR="000C4368">
        <w:t>r</w:t>
      </w:r>
      <w:r w:rsidR="000C4368" w:rsidRPr="00A618BE">
        <w:t xml:space="preserve">eproductive </w:t>
      </w:r>
      <w:r w:rsidR="000C4368">
        <w:t>c</w:t>
      </w:r>
      <w:r w:rsidR="000C4368" w:rsidRPr="00A618BE">
        <w:t>oercion</w:t>
      </w:r>
      <w:r w:rsidR="000C4368">
        <w:t xml:space="preserve"> </w:t>
      </w:r>
      <w:r w:rsidRPr="00A618BE">
        <w:t xml:space="preserve">and other key stakeholders. </w:t>
      </w:r>
    </w:p>
    <w:p w14:paraId="2EEF90F2" w14:textId="135FA7C6" w:rsidR="00581A5E" w:rsidRPr="00A618BE" w:rsidRDefault="00581A5E" w:rsidP="00D0581F">
      <w:r w:rsidRPr="00A618BE">
        <w:t xml:space="preserve">Two important guiding principles therefore informed the development of this </w:t>
      </w:r>
      <w:r w:rsidR="00B56730">
        <w:t>white paper</w:t>
      </w:r>
      <w:r w:rsidRPr="00A618BE">
        <w:t>:</w:t>
      </w:r>
    </w:p>
    <w:p w14:paraId="37984D63" w14:textId="77777777" w:rsidR="00581A5E" w:rsidRPr="00A618BE" w:rsidRDefault="00581A5E" w:rsidP="00D0581F">
      <w:pPr>
        <w:pStyle w:val="ListParagraph"/>
        <w:numPr>
          <w:ilvl w:val="0"/>
          <w:numId w:val="43"/>
        </w:numPr>
        <w:spacing w:before="240" w:after="240"/>
      </w:pPr>
      <w:proofErr w:type="gramStart"/>
      <w:r w:rsidRPr="00A618BE">
        <w:t>Each individual</w:t>
      </w:r>
      <w:proofErr w:type="gramEnd"/>
      <w:r w:rsidRPr="00A618BE">
        <w:t xml:space="preserve"> has a right to make decisions about their reproductive health free from coercion</w:t>
      </w:r>
      <w:r>
        <w:t>.</w:t>
      </w:r>
      <w:r w:rsidRPr="00A618BE">
        <w:rPr>
          <w:rStyle w:val="EndnoteReference"/>
        </w:rPr>
        <w:endnoteReference w:id="18"/>
      </w:r>
    </w:p>
    <w:p w14:paraId="40553D57" w14:textId="2436E722" w:rsidR="00C633A1" w:rsidRPr="00A618BE" w:rsidRDefault="00581A5E" w:rsidP="00D76477">
      <w:pPr>
        <w:pStyle w:val="ListParagraph"/>
        <w:numPr>
          <w:ilvl w:val="0"/>
          <w:numId w:val="43"/>
        </w:numPr>
        <w:spacing w:before="240" w:after="240"/>
      </w:pPr>
      <w:r w:rsidRPr="00A618BE">
        <w:t xml:space="preserve">Responding to </w:t>
      </w:r>
      <w:r w:rsidR="000C4368">
        <w:t>r</w:t>
      </w:r>
      <w:r w:rsidR="000C4368" w:rsidRPr="00A618BE">
        <w:t xml:space="preserve">eproductive </w:t>
      </w:r>
      <w:r w:rsidR="000C4368">
        <w:t>c</w:t>
      </w:r>
      <w:r w:rsidR="000C4368" w:rsidRPr="00A618BE">
        <w:t>oercion</w:t>
      </w:r>
      <w:r w:rsidR="000C4368">
        <w:t xml:space="preserve"> </w:t>
      </w:r>
      <w:r w:rsidRPr="00A618BE">
        <w:t xml:space="preserve">will require organisations to </w:t>
      </w:r>
      <w:r>
        <w:t>think and work</w:t>
      </w:r>
      <w:r w:rsidRPr="00A618BE">
        <w:t xml:space="preserve"> in new ways </w:t>
      </w:r>
      <w:proofErr w:type="gramStart"/>
      <w:r w:rsidRPr="00A618BE">
        <w:t>so as to</w:t>
      </w:r>
      <w:proofErr w:type="gramEnd"/>
      <w:r w:rsidRPr="00A618BE">
        <w:t xml:space="preserve"> </w:t>
      </w:r>
      <w:r>
        <w:t>effectively address the issue.</w:t>
      </w:r>
    </w:p>
    <w:tbl>
      <w:tblPr>
        <w:tblStyle w:val="LightList"/>
        <w:tblW w:w="0" w:type="auto"/>
        <w:tblBorders>
          <w:top w:val="none" w:sz="0" w:space="0" w:color="auto"/>
          <w:left w:val="none" w:sz="0" w:space="0" w:color="auto"/>
          <w:bottom w:val="none" w:sz="0" w:space="0" w:color="auto"/>
          <w:right w:val="none" w:sz="0" w:space="0" w:color="auto"/>
        </w:tblBorders>
        <w:shd w:val="clear" w:color="auto" w:fill="9BAF91"/>
        <w:tblLook w:val="04A0" w:firstRow="1" w:lastRow="0" w:firstColumn="1" w:lastColumn="0" w:noHBand="0" w:noVBand="1"/>
      </w:tblPr>
      <w:tblGrid>
        <w:gridCol w:w="9070"/>
      </w:tblGrid>
      <w:tr w:rsidR="00581A5E" w:rsidRPr="00A618BE" w14:paraId="592320DB" w14:textId="77777777" w:rsidTr="00F3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1" w:type="dxa"/>
            <w:shd w:val="clear" w:color="auto" w:fill="9BAF91"/>
          </w:tcPr>
          <w:p w14:paraId="16B685A5" w14:textId="1099737D" w:rsidR="00581A5E" w:rsidRPr="000C4368" w:rsidRDefault="00581A5E" w:rsidP="00D0581F">
            <w:pPr>
              <w:rPr>
                <w:color w:val="auto"/>
              </w:rPr>
            </w:pPr>
            <w:r w:rsidRPr="000C4368">
              <w:rPr>
                <w:color w:val="auto"/>
              </w:rPr>
              <w:t>Everyone has a right to make decisions that govern their bodies, free of stigma, discrimination, and coercion.</w:t>
            </w:r>
          </w:p>
          <w:p w14:paraId="7331D0C6" w14:textId="77777777" w:rsidR="00581A5E" w:rsidRPr="00A52DD8" w:rsidRDefault="00581A5E" w:rsidP="00D0581F">
            <w:pPr>
              <w:rPr>
                <w:b w:val="0"/>
              </w:rPr>
            </w:pPr>
            <w:r w:rsidRPr="000C4368">
              <w:rPr>
                <w:color w:val="auto"/>
              </w:rPr>
              <w:t>Accelerate Progress: Sexual and reproductive health &amp; rights for all: report from the Guttmacher-Lancet Commission</w:t>
            </w:r>
          </w:p>
        </w:tc>
      </w:tr>
    </w:tbl>
    <w:p w14:paraId="1B4D7718" w14:textId="694DD8D8" w:rsidR="00F37D25" w:rsidRDefault="00F37D25">
      <w:pPr>
        <w:spacing w:after="160" w:line="259" w:lineRule="auto"/>
        <w:rPr>
          <w:rFonts w:eastAsiaTheme="majorEastAsia" w:cs="Arial"/>
          <w:b/>
          <w:sz w:val="32"/>
          <w:szCs w:val="32"/>
        </w:rPr>
      </w:pPr>
      <w:bookmarkStart w:id="97" w:name="_Toc530573351"/>
    </w:p>
    <w:p w14:paraId="00A2585A" w14:textId="6B1B8F18" w:rsidR="00581A5E" w:rsidRPr="00A618BE" w:rsidRDefault="00581A5E" w:rsidP="00D0581F">
      <w:pPr>
        <w:pStyle w:val="Heading2"/>
      </w:pPr>
      <w:bookmarkStart w:id="98" w:name="_Toc57368597"/>
      <w:r>
        <w:t>W</w:t>
      </w:r>
      <w:r w:rsidRPr="00A618BE">
        <w:t xml:space="preserve">hite </w:t>
      </w:r>
      <w:r w:rsidR="00B56730">
        <w:t>p</w:t>
      </w:r>
      <w:r w:rsidRPr="00A618BE">
        <w:t xml:space="preserve">aper </w:t>
      </w:r>
      <w:r w:rsidR="00B56730">
        <w:t>c</w:t>
      </w:r>
      <w:r w:rsidRPr="00A618BE">
        <w:t>onsultation</w:t>
      </w:r>
      <w:bookmarkEnd w:id="97"/>
      <w:bookmarkEnd w:id="98"/>
    </w:p>
    <w:p w14:paraId="6F242A57" w14:textId="385B1381" w:rsidR="00581A5E" w:rsidRPr="00A618BE" w:rsidRDefault="00581A5E" w:rsidP="00D0581F">
      <w:r w:rsidRPr="00A618BE">
        <w:t xml:space="preserve">To develop this </w:t>
      </w:r>
      <w:r w:rsidR="000C4368">
        <w:t>w</w:t>
      </w:r>
      <w:r w:rsidRPr="00A618BE">
        <w:t xml:space="preserve">hite </w:t>
      </w:r>
      <w:r w:rsidR="000C4368">
        <w:t>p</w:t>
      </w:r>
      <w:r w:rsidRPr="00A618BE">
        <w:t xml:space="preserve">aper, Marie Stopes Australia </w:t>
      </w:r>
      <w:r>
        <w:t xml:space="preserve">has reached outside of our own experiences and </w:t>
      </w:r>
      <w:r w:rsidRPr="00A618BE">
        <w:t xml:space="preserve">sought submissions from stakeholders with knowledge of and/or a demonstrated strong interest in supporting people experiencing </w:t>
      </w:r>
      <w:r w:rsidR="000C4368">
        <w:t>r</w:t>
      </w:r>
      <w:r w:rsidR="000C4368" w:rsidRPr="00A618BE">
        <w:t xml:space="preserve">eproductive </w:t>
      </w:r>
      <w:r w:rsidR="000C4368">
        <w:t>c</w:t>
      </w:r>
      <w:r w:rsidR="000C4368" w:rsidRPr="00A618BE">
        <w:t>oercion</w:t>
      </w:r>
      <w:r w:rsidRPr="00A618BE">
        <w:t>, especially stakeholders involved in:</w:t>
      </w:r>
    </w:p>
    <w:p w14:paraId="59794DE8" w14:textId="5EB3AA3F" w:rsidR="00581A5E" w:rsidRPr="00A618BE" w:rsidRDefault="00F37D25" w:rsidP="00D0581F">
      <w:pPr>
        <w:pStyle w:val="ListParagraph"/>
        <w:numPr>
          <w:ilvl w:val="0"/>
          <w:numId w:val="33"/>
        </w:numPr>
        <w:spacing w:before="240" w:after="240"/>
      </w:pPr>
      <w:r>
        <w:t>h</w:t>
      </w:r>
      <w:r w:rsidR="00581A5E" w:rsidRPr="00A618BE">
        <w:t>ealth care delivery, particularly women’s health, abortion care and broader sexual and reproductive health services</w:t>
      </w:r>
    </w:p>
    <w:p w14:paraId="1DAE9DDE" w14:textId="2D9714D2" w:rsidR="00581A5E" w:rsidRPr="00A618BE" w:rsidRDefault="00F37D25" w:rsidP="00D0581F">
      <w:pPr>
        <w:pStyle w:val="ListParagraph"/>
        <w:numPr>
          <w:ilvl w:val="0"/>
          <w:numId w:val="33"/>
        </w:numPr>
        <w:spacing w:before="240" w:after="240"/>
      </w:pPr>
      <w:r>
        <w:t>r</w:t>
      </w:r>
      <w:r w:rsidR="000C4368" w:rsidRPr="00A618BE">
        <w:t xml:space="preserve">eproductive </w:t>
      </w:r>
      <w:r w:rsidR="000C4368">
        <w:t>c</w:t>
      </w:r>
      <w:r w:rsidR="000C4368" w:rsidRPr="00A618BE">
        <w:t>oercion</w:t>
      </w:r>
      <w:r w:rsidR="000C4368">
        <w:t xml:space="preserve"> </w:t>
      </w:r>
      <w:r w:rsidR="00581A5E" w:rsidRPr="00A618BE">
        <w:t>prevention and response sectors including social workers, policy makers and advocates</w:t>
      </w:r>
    </w:p>
    <w:p w14:paraId="4EEB064B" w14:textId="4C4D891B" w:rsidR="00581A5E" w:rsidRPr="00A618BE" w:rsidRDefault="00F37D25" w:rsidP="00D0581F">
      <w:pPr>
        <w:pStyle w:val="ListParagraph"/>
        <w:numPr>
          <w:ilvl w:val="0"/>
          <w:numId w:val="33"/>
        </w:numPr>
        <w:spacing w:before="240" w:after="240"/>
      </w:pPr>
      <w:r>
        <w:t>a</w:t>
      </w:r>
      <w:r w:rsidR="00581A5E" w:rsidRPr="00A618BE">
        <w:t xml:space="preserve">cademics and researchers with a professional interest in women’s health, prevention of violence against women, </w:t>
      </w:r>
      <w:r w:rsidR="000C4368">
        <w:t>r</w:t>
      </w:r>
      <w:r w:rsidR="000C4368" w:rsidRPr="00A618BE">
        <w:t xml:space="preserve">eproductive </w:t>
      </w:r>
      <w:proofErr w:type="gramStart"/>
      <w:r w:rsidR="000C4368">
        <w:t>c</w:t>
      </w:r>
      <w:r w:rsidR="000C4368" w:rsidRPr="00A618BE">
        <w:t>oercion</w:t>
      </w:r>
      <w:proofErr w:type="gramEnd"/>
      <w:r w:rsidR="000C4368">
        <w:t xml:space="preserve"> </w:t>
      </w:r>
      <w:r w:rsidR="00581A5E" w:rsidRPr="00A618BE">
        <w:t xml:space="preserve">and law reform. </w:t>
      </w:r>
    </w:p>
    <w:p w14:paraId="295D5160" w14:textId="47C47637" w:rsidR="00581A5E" w:rsidRPr="00A618BE" w:rsidRDefault="00581A5E" w:rsidP="00D0581F">
      <w:r w:rsidRPr="00A618BE">
        <w:lastRenderedPageBreak/>
        <w:t xml:space="preserve">The development of the </w:t>
      </w:r>
      <w:r w:rsidR="000C4368">
        <w:t>w</w:t>
      </w:r>
      <w:r w:rsidRPr="00A618BE">
        <w:t xml:space="preserve">hite </w:t>
      </w:r>
      <w:r w:rsidR="000C4368">
        <w:t>p</w:t>
      </w:r>
      <w:r w:rsidRPr="00A618BE">
        <w:t xml:space="preserve">aper comprised two </w:t>
      </w:r>
      <w:r>
        <w:t>consultation stages</w:t>
      </w:r>
      <w:r w:rsidRPr="00A618BE">
        <w:t>:</w:t>
      </w:r>
    </w:p>
    <w:p w14:paraId="7C079974" w14:textId="246B74A1" w:rsidR="00581A5E" w:rsidRPr="00A618BE" w:rsidRDefault="00581A5E" w:rsidP="00D0581F">
      <w:pPr>
        <w:pStyle w:val="ListParagraph"/>
        <w:numPr>
          <w:ilvl w:val="0"/>
          <w:numId w:val="11"/>
        </w:numPr>
        <w:spacing w:before="240" w:after="240"/>
      </w:pPr>
      <w:r w:rsidRPr="00A618BE">
        <w:rPr>
          <w:b/>
        </w:rPr>
        <w:t>November 2017 – March 2018</w:t>
      </w:r>
      <w:r w:rsidRPr="00A618BE">
        <w:t xml:space="preserve">: Initial submissions from stakeholders and individuals guided by the </w:t>
      </w:r>
      <w:r w:rsidR="000C4368">
        <w:t>t</w:t>
      </w:r>
      <w:r w:rsidRPr="00A618BE">
        <w:t xml:space="preserve">erms of </w:t>
      </w:r>
      <w:r w:rsidR="000C4368">
        <w:t>r</w:t>
      </w:r>
      <w:r w:rsidRPr="00A618BE">
        <w:t>eference.</w:t>
      </w:r>
    </w:p>
    <w:p w14:paraId="4A96DF37" w14:textId="4965F92A" w:rsidR="00581A5E" w:rsidRPr="00A618BE" w:rsidRDefault="00581A5E" w:rsidP="00D0581F">
      <w:pPr>
        <w:pStyle w:val="ListParagraph"/>
        <w:numPr>
          <w:ilvl w:val="0"/>
          <w:numId w:val="11"/>
        </w:numPr>
        <w:spacing w:before="240" w:after="240"/>
      </w:pPr>
      <w:r w:rsidRPr="00A618BE">
        <w:rPr>
          <w:b/>
        </w:rPr>
        <w:t xml:space="preserve">May 2018 – August 2018: </w:t>
      </w:r>
      <w:r w:rsidRPr="00A618BE">
        <w:t xml:space="preserve">Draft </w:t>
      </w:r>
      <w:r w:rsidR="000C4368" w:rsidRPr="00F37D25">
        <w:rPr>
          <w:i/>
          <w:iCs/>
        </w:rPr>
        <w:t>Hidden Forces</w:t>
      </w:r>
      <w:r w:rsidR="000C4368">
        <w:t xml:space="preserve"> white paper</w:t>
      </w:r>
      <w:r w:rsidRPr="00A618BE">
        <w:t xml:space="preserve"> circulated for comment.</w:t>
      </w:r>
    </w:p>
    <w:p w14:paraId="18FE265C" w14:textId="77777777" w:rsidR="00581A5E" w:rsidRPr="00A618BE" w:rsidRDefault="00581A5E" w:rsidP="00D0581F">
      <w:r w:rsidRPr="00A618BE">
        <w:t xml:space="preserve">Marie Stopes Australia received 84 submissions from academics, health professionals, counselling service providers, FV response and advocacy organisations and lawyers. The submissions raised </w:t>
      </w:r>
      <w:proofErr w:type="gramStart"/>
      <w:r w:rsidRPr="00A618BE">
        <w:t>a number of</w:t>
      </w:r>
      <w:proofErr w:type="gramEnd"/>
      <w:r w:rsidRPr="00A618BE">
        <w:t xml:space="preserve"> themes including:</w:t>
      </w:r>
    </w:p>
    <w:p w14:paraId="6912680B" w14:textId="30ECA8BB" w:rsidR="00581A5E" w:rsidRPr="00A618BE" w:rsidRDefault="00F37D25" w:rsidP="00D0581F">
      <w:pPr>
        <w:pStyle w:val="ListParagraph"/>
        <w:numPr>
          <w:ilvl w:val="0"/>
          <w:numId w:val="33"/>
        </w:numPr>
        <w:spacing w:before="240" w:after="240"/>
      </w:pPr>
      <w:r>
        <w:t>t</w:t>
      </w:r>
      <w:r w:rsidR="00581A5E" w:rsidRPr="00A618BE">
        <w:t xml:space="preserve">he importance of a clear definition of </w:t>
      </w:r>
      <w:r w:rsidR="000C4368">
        <w:t>r</w:t>
      </w:r>
      <w:r w:rsidR="000C4368" w:rsidRPr="00A618BE">
        <w:t xml:space="preserve">eproductive </w:t>
      </w:r>
      <w:r w:rsidR="000C4368">
        <w:t>c</w:t>
      </w:r>
      <w:r w:rsidR="000C4368" w:rsidRPr="00A618BE">
        <w:t>oercion</w:t>
      </w:r>
    </w:p>
    <w:p w14:paraId="022E58EC" w14:textId="3F898A4A" w:rsidR="00581A5E" w:rsidRPr="00A618BE" w:rsidRDefault="00F37D25" w:rsidP="00D0581F">
      <w:pPr>
        <w:pStyle w:val="ListParagraph"/>
        <w:numPr>
          <w:ilvl w:val="0"/>
          <w:numId w:val="33"/>
        </w:numPr>
        <w:spacing w:before="240" w:after="240"/>
      </w:pPr>
      <w:r>
        <w:t>t</w:t>
      </w:r>
      <w:r w:rsidR="00581A5E" w:rsidRPr="00A618BE">
        <w:t xml:space="preserve">he need to draw together the links between </w:t>
      </w:r>
      <w:r w:rsidR="000C4368">
        <w:t>r</w:t>
      </w:r>
      <w:r w:rsidR="000C4368" w:rsidRPr="00A618BE">
        <w:t xml:space="preserve">eproductive </w:t>
      </w:r>
      <w:r w:rsidR="000C4368">
        <w:t>c</w:t>
      </w:r>
      <w:r w:rsidR="000C4368" w:rsidRPr="00A618BE">
        <w:t>oercion</w:t>
      </w:r>
      <w:r w:rsidR="00581A5E" w:rsidRPr="00A618BE">
        <w:t>, FV, IPV and SV</w:t>
      </w:r>
      <w:r>
        <w:t>s</w:t>
      </w:r>
    </w:p>
    <w:p w14:paraId="471610ED" w14:textId="003C13EC" w:rsidR="00581A5E" w:rsidRPr="00A618BE" w:rsidRDefault="00F37D25" w:rsidP="00D0581F">
      <w:pPr>
        <w:pStyle w:val="ListParagraph"/>
        <w:numPr>
          <w:ilvl w:val="0"/>
          <w:numId w:val="33"/>
        </w:numPr>
        <w:spacing w:before="240" w:after="240"/>
      </w:pPr>
      <w:r>
        <w:t>r</w:t>
      </w:r>
      <w:r w:rsidR="00581A5E" w:rsidRPr="00A618BE">
        <w:t>equirement for cross-sector collaboration between FV, IPV, SV and health professionals and organisations (particularly abortion and contraception providers and maternal health services)</w:t>
      </w:r>
    </w:p>
    <w:p w14:paraId="349440F9" w14:textId="2218E883" w:rsidR="00581A5E" w:rsidRPr="00A618BE" w:rsidRDefault="00F37D25" w:rsidP="00D0581F">
      <w:pPr>
        <w:pStyle w:val="ListParagraph"/>
        <w:numPr>
          <w:ilvl w:val="0"/>
          <w:numId w:val="33"/>
        </w:numPr>
        <w:spacing w:before="240" w:after="240"/>
      </w:pPr>
      <w:r>
        <w:t>t</w:t>
      </w:r>
      <w:r w:rsidR="00581A5E" w:rsidRPr="00A618BE">
        <w:t xml:space="preserve">he need for further research to determine prevalence and gain an understanding of the ‘lived experiences’ of </w:t>
      </w:r>
      <w:r w:rsidR="000C4368">
        <w:t>r</w:t>
      </w:r>
      <w:r w:rsidR="000C4368" w:rsidRPr="00A618BE">
        <w:t xml:space="preserve">eproductive </w:t>
      </w:r>
      <w:r w:rsidR="000C4368">
        <w:t>c</w:t>
      </w:r>
      <w:r w:rsidR="000C4368" w:rsidRPr="00A618BE">
        <w:t>oercion</w:t>
      </w:r>
      <w:r w:rsidR="00581A5E" w:rsidRPr="00A618BE">
        <w:rPr>
          <w:rStyle w:val="EndnoteReference"/>
        </w:rPr>
        <w:endnoteReference w:id="19"/>
      </w:r>
    </w:p>
    <w:p w14:paraId="368D5804" w14:textId="5040EE7B" w:rsidR="00581A5E" w:rsidRPr="00A618BE" w:rsidRDefault="00F37D25" w:rsidP="00D0581F">
      <w:pPr>
        <w:pStyle w:val="ListParagraph"/>
        <w:numPr>
          <w:ilvl w:val="0"/>
          <w:numId w:val="33"/>
        </w:numPr>
        <w:spacing w:before="240" w:after="240"/>
      </w:pPr>
      <w:r>
        <w:t>t</w:t>
      </w:r>
      <w:r w:rsidR="00581A5E" w:rsidRPr="00A618BE">
        <w:t xml:space="preserve">hat </w:t>
      </w:r>
      <w:r w:rsidR="000C4368">
        <w:t>r</w:t>
      </w:r>
      <w:r w:rsidR="000C4368" w:rsidRPr="00A618BE">
        <w:t xml:space="preserve">eproductive </w:t>
      </w:r>
      <w:r w:rsidR="000C4368">
        <w:t>c</w:t>
      </w:r>
      <w:r w:rsidR="000C4368" w:rsidRPr="00A618BE">
        <w:t>oercion</w:t>
      </w:r>
      <w:r w:rsidR="000C4368">
        <w:t xml:space="preserve"> </w:t>
      </w:r>
      <w:r w:rsidR="00581A5E" w:rsidRPr="00A618BE">
        <w:t>can be driven from an interpersonal and structural perspective</w:t>
      </w:r>
    </w:p>
    <w:p w14:paraId="677656D6" w14:textId="60E6F04B" w:rsidR="00581A5E" w:rsidRPr="00A618BE" w:rsidRDefault="00F37D25" w:rsidP="00D0581F">
      <w:pPr>
        <w:pStyle w:val="ListParagraph"/>
        <w:numPr>
          <w:ilvl w:val="0"/>
          <w:numId w:val="33"/>
        </w:numPr>
        <w:spacing w:before="240" w:after="240"/>
      </w:pPr>
      <w:r>
        <w:t>t</w:t>
      </w:r>
      <w:r w:rsidR="00581A5E" w:rsidRPr="00A618BE">
        <w:t xml:space="preserve">hat appropriate risk assessment (including screening tools) is developed for </w:t>
      </w:r>
      <w:r w:rsidR="000C4368">
        <w:t>r</w:t>
      </w:r>
      <w:r w:rsidR="000C4368" w:rsidRPr="00A618BE">
        <w:t xml:space="preserve">eproductive </w:t>
      </w:r>
      <w:r w:rsidR="000C4368">
        <w:t>c</w:t>
      </w:r>
      <w:r w:rsidR="000C4368" w:rsidRPr="00A618BE">
        <w:t>oercion</w:t>
      </w:r>
    </w:p>
    <w:p w14:paraId="41EE3139" w14:textId="31AD0D20" w:rsidR="00581A5E" w:rsidRPr="00A618BE" w:rsidRDefault="00F37D25" w:rsidP="00D0581F">
      <w:pPr>
        <w:pStyle w:val="ListParagraph"/>
        <w:numPr>
          <w:ilvl w:val="0"/>
          <w:numId w:val="33"/>
        </w:numPr>
        <w:spacing w:before="240" w:after="240"/>
      </w:pPr>
      <w:r>
        <w:t>t</w:t>
      </w:r>
      <w:r w:rsidR="00581A5E" w:rsidRPr="00A618BE">
        <w:t xml:space="preserve">hat responses to </w:t>
      </w:r>
      <w:r w:rsidR="000C4368">
        <w:t>r</w:t>
      </w:r>
      <w:r w:rsidR="000C4368" w:rsidRPr="00A618BE">
        <w:t xml:space="preserve">eproductive </w:t>
      </w:r>
      <w:r w:rsidR="000C4368">
        <w:t>c</w:t>
      </w:r>
      <w:r w:rsidR="000C4368" w:rsidRPr="00A618BE">
        <w:t>oercion</w:t>
      </w:r>
      <w:r w:rsidR="000C4368">
        <w:t xml:space="preserve"> </w:t>
      </w:r>
      <w:r w:rsidR="00581A5E" w:rsidRPr="00A618BE">
        <w:t>be culturally appropriate</w:t>
      </w:r>
    </w:p>
    <w:p w14:paraId="69E33D9B" w14:textId="0331201C" w:rsidR="00581A5E" w:rsidRPr="00A618BE" w:rsidRDefault="00F37D25" w:rsidP="00D0581F">
      <w:pPr>
        <w:pStyle w:val="ListParagraph"/>
        <w:numPr>
          <w:ilvl w:val="0"/>
          <w:numId w:val="33"/>
        </w:numPr>
        <w:spacing w:before="240" w:after="240"/>
      </w:pPr>
      <w:r>
        <w:t>t</w:t>
      </w:r>
      <w:r w:rsidR="00581A5E" w:rsidRPr="00A618BE">
        <w:t xml:space="preserve">hat </w:t>
      </w:r>
      <w:r w:rsidR="000C4368">
        <w:t>r</w:t>
      </w:r>
      <w:r w:rsidR="000C4368" w:rsidRPr="00A618BE">
        <w:t xml:space="preserve">eproductive </w:t>
      </w:r>
      <w:r w:rsidR="000C4368">
        <w:t>c</w:t>
      </w:r>
      <w:r w:rsidR="000C4368" w:rsidRPr="00A618BE">
        <w:t>oercion</w:t>
      </w:r>
      <w:r w:rsidR="000C4368">
        <w:t xml:space="preserve"> </w:t>
      </w:r>
      <w:r w:rsidR="00581A5E" w:rsidRPr="00A618BE">
        <w:t>be part of policy consideration for sexual and reproductive health nationally</w:t>
      </w:r>
    </w:p>
    <w:p w14:paraId="4DBF64B6" w14:textId="17598FEA" w:rsidR="00581A5E" w:rsidRPr="00A618BE" w:rsidRDefault="00F37D25" w:rsidP="00D0581F">
      <w:pPr>
        <w:pStyle w:val="ListParagraph"/>
        <w:numPr>
          <w:ilvl w:val="0"/>
          <w:numId w:val="33"/>
        </w:numPr>
        <w:spacing w:before="240" w:after="240"/>
      </w:pPr>
      <w:r>
        <w:t>t</w:t>
      </w:r>
      <w:r w:rsidR="00581A5E" w:rsidRPr="00A618BE">
        <w:t xml:space="preserve">he critical role that healthcare professionals, particularly those working in maternal and child health and sexual and reproductive health, play in responding to </w:t>
      </w:r>
      <w:r w:rsidR="000C4368">
        <w:t>r</w:t>
      </w:r>
      <w:r w:rsidR="000C4368" w:rsidRPr="00A618BE">
        <w:t xml:space="preserve">eproductive </w:t>
      </w:r>
      <w:r w:rsidR="000C4368">
        <w:t>c</w:t>
      </w:r>
      <w:r w:rsidR="000C4368" w:rsidRPr="00A618BE">
        <w:t>oercion</w:t>
      </w:r>
      <w:r w:rsidR="00581A5E" w:rsidRPr="00A618BE">
        <w:t>.</w:t>
      </w:r>
    </w:p>
    <w:p w14:paraId="47917157" w14:textId="75577B7E" w:rsidR="006B7C86" w:rsidRDefault="00581A5E" w:rsidP="00D0581F">
      <w:r w:rsidRPr="00A618BE">
        <w:t xml:space="preserve">The following section of this </w:t>
      </w:r>
      <w:r w:rsidR="00B56730">
        <w:t>w</w:t>
      </w:r>
      <w:r w:rsidRPr="00A618BE">
        <w:t xml:space="preserve">hite </w:t>
      </w:r>
      <w:r w:rsidR="00B56730">
        <w:t>p</w:t>
      </w:r>
      <w:r w:rsidRPr="00A618BE">
        <w:t>aper explores these themes; drawing on both the submissions received and research literature relating to</w:t>
      </w:r>
      <w:r>
        <w:t xml:space="preserve"> </w:t>
      </w:r>
      <w:r w:rsidR="000C4368">
        <w:t>r</w:t>
      </w:r>
      <w:r w:rsidR="000C4368" w:rsidRPr="00A618BE">
        <w:t xml:space="preserve">eproductive </w:t>
      </w:r>
      <w:r w:rsidR="000C4368">
        <w:t>c</w:t>
      </w:r>
      <w:r w:rsidR="000C4368" w:rsidRPr="00A618BE">
        <w:t>oercion</w:t>
      </w:r>
      <w:r>
        <w:t>, FV, IPV and SV.</w:t>
      </w:r>
      <w:r>
        <w:br w:type="page"/>
      </w:r>
      <w:bookmarkStart w:id="99" w:name="_Toc530573352"/>
    </w:p>
    <w:p w14:paraId="3E668867" w14:textId="5FBFF325" w:rsidR="00581A5E" w:rsidRPr="0030757E" w:rsidRDefault="00D231C5" w:rsidP="00D0581F">
      <w:pPr>
        <w:pStyle w:val="Heading1"/>
        <w:spacing w:line="276" w:lineRule="auto"/>
      </w:pPr>
      <w:bookmarkStart w:id="100" w:name="_Toc57368598"/>
      <w:r w:rsidRPr="00B86D59">
        <w:lastRenderedPageBreak/>
        <w:t>7</w:t>
      </w:r>
      <w:r w:rsidR="000C4368" w:rsidRPr="00B86D59">
        <w:t>. Themes and issues</w:t>
      </w:r>
      <w:bookmarkEnd w:id="99"/>
      <w:bookmarkEnd w:id="100"/>
    </w:p>
    <w:p w14:paraId="7E8BB78C" w14:textId="732661F2" w:rsidR="00581A5E" w:rsidRPr="00B86D59" w:rsidRDefault="00581A5E" w:rsidP="00D0581F">
      <w:pPr>
        <w:pStyle w:val="Heading2"/>
      </w:pPr>
      <w:bookmarkStart w:id="101" w:name="_Toc530573353"/>
      <w:bookmarkStart w:id="102" w:name="_Toc57368599"/>
      <w:r w:rsidRPr="004D500A">
        <w:t xml:space="preserve">The need for a definition of </w:t>
      </w:r>
      <w:r w:rsidR="000C4368" w:rsidRPr="004D500A">
        <w:t xml:space="preserve">reproductive </w:t>
      </w:r>
      <w:r w:rsidR="000C4368" w:rsidRPr="00BF6304">
        <w:t>coercion</w:t>
      </w:r>
      <w:bookmarkEnd w:id="101"/>
      <w:bookmarkEnd w:id="102"/>
    </w:p>
    <w:p w14:paraId="510D77C9" w14:textId="3931052F" w:rsidR="00581A5E" w:rsidRPr="00A618BE" w:rsidRDefault="00581A5E" w:rsidP="00D0581F">
      <w:r w:rsidRPr="00A618BE">
        <w:t xml:space="preserve">To fully understand, respond to and prevent </w:t>
      </w:r>
      <w:r w:rsidR="000C4368">
        <w:t>r</w:t>
      </w:r>
      <w:r w:rsidR="000C4368" w:rsidRPr="00A618BE">
        <w:t xml:space="preserve">eproductive </w:t>
      </w:r>
      <w:r w:rsidR="000C4368">
        <w:t>c</w:t>
      </w:r>
      <w:r w:rsidR="000C4368" w:rsidRPr="00A618BE">
        <w:t>oercion</w:t>
      </w:r>
      <w:r w:rsidRPr="00A618BE">
        <w:t xml:space="preserve">, we first need to clearly define what </w:t>
      </w:r>
      <w:r w:rsidR="000C4368">
        <w:t>r</w:t>
      </w:r>
      <w:r w:rsidR="000C4368" w:rsidRPr="00A618BE">
        <w:t xml:space="preserve">eproductive </w:t>
      </w:r>
      <w:r w:rsidR="000C4368">
        <w:t>c</w:t>
      </w:r>
      <w:r w:rsidR="000C4368" w:rsidRPr="00A618BE">
        <w:t>oercion</w:t>
      </w:r>
      <w:r w:rsidR="000C4368">
        <w:t xml:space="preserve"> </w:t>
      </w:r>
      <w:r w:rsidRPr="00A618BE">
        <w:t>is. A useful definition is one that clearly articulate</w:t>
      </w:r>
      <w:r>
        <w:t>s</w:t>
      </w:r>
      <w:r w:rsidRPr="00A618BE">
        <w:t xml:space="preserve"> the characteristics of </w:t>
      </w:r>
      <w:r w:rsidR="000C4368">
        <w:t>r</w:t>
      </w:r>
      <w:r w:rsidR="000C4368" w:rsidRPr="00A618BE">
        <w:t xml:space="preserve">eproductive </w:t>
      </w:r>
      <w:r w:rsidR="000C4368">
        <w:t>c</w:t>
      </w:r>
      <w:r w:rsidR="000C4368" w:rsidRPr="00A618BE">
        <w:t>oercion</w:t>
      </w:r>
      <w:r w:rsidR="000C4368">
        <w:t xml:space="preserve"> </w:t>
      </w:r>
      <w:r w:rsidRPr="00A618BE">
        <w:t xml:space="preserve">and that reflects broad consensus among health practitioners, academics and others involved in responding to </w:t>
      </w:r>
      <w:r w:rsidR="000C4368">
        <w:t>r</w:t>
      </w:r>
      <w:r w:rsidR="000C4368" w:rsidRPr="00A618BE">
        <w:t xml:space="preserve">eproductive </w:t>
      </w:r>
      <w:r w:rsidR="000C4368">
        <w:t>c</w:t>
      </w:r>
      <w:r w:rsidR="000C4368" w:rsidRPr="00A618BE">
        <w:t>oercion</w:t>
      </w:r>
      <w:r w:rsidRPr="00A618BE">
        <w:t xml:space="preserve">. A useful definition will guide further research to further illuminate the phenomena of </w:t>
      </w:r>
      <w:r w:rsidR="00194CC8">
        <w:t>r</w:t>
      </w:r>
      <w:r w:rsidR="00194CC8" w:rsidRPr="00A618BE">
        <w:t xml:space="preserve">eproductive </w:t>
      </w:r>
      <w:r w:rsidR="00194CC8">
        <w:t>c</w:t>
      </w:r>
      <w:r w:rsidR="00194CC8" w:rsidRPr="00A618BE">
        <w:t>oercion</w:t>
      </w:r>
      <w:r w:rsidR="00194CC8">
        <w:t xml:space="preserve"> </w:t>
      </w:r>
      <w:r w:rsidRPr="00A618BE">
        <w:t xml:space="preserve">and will be used in the development of targeted responses to </w:t>
      </w:r>
      <w:r w:rsidR="000C4368">
        <w:t>r</w:t>
      </w:r>
      <w:r w:rsidR="000C4368" w:rsidRPr="00A618BE">
        <w:t xml:space="preserve">eproductive </w:t>
      </w:r>
      <w:r w:rsidR="000C4368">
        <w:t>c</w:t>
      </w:r>
      <w:r w:rsidR="000C4368" w:rsidRPr="00A618BE">
        <w:t>oercion</w:t>
      </w:r>
      <w:r w:rsidRPr="00A618BE">
        <w:t xml:space="preserve">. </w:t>
      </w:r>
    </w:p>
    <w:p w14:paraId="0CB932AA" w14:textId="0B8644E8" w:rsidR="00581A5E" w:rsidRDefault="006750E5" w:rsidP="00D0581F">
      <w:r>
        <w:rPr>
          <w:noProof/>
          <w:lang w:eastAsia="en-AU"/>
        </w:rPr>
        <mc:AlternateContent>
          <mc:Choice Requires="wps">
            <w:drawing>
              <wp:anchor distT="45720" distB="45720" distL="114300" distR="114300" simplePos="0" relativeHeight="251679744" behindDoc="0" locked="0" layoutInCell="1" allowOverlap="1" wp14:anchorId="4FB97EAD" wp14:editId="26335E86">
                <wp:simplePos x="0" y="0"/>
                <wp:positionH relativeFrom="margin">
                  <wp:align>left</wp:align>
                </wp:positionH>
                <wp:positionV relativeFrom="paragraph">
                  <wp:posOffset>1557020</wp:posOffset>
                </wp:positionV>
                <wp:extent cx="554736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404620"/>
                        </a:xfrm>
                        <a:prstGeom prst="rect">
                          <a:avLst/>
                        </a:prstGeom>
                        <a:solidFill>
                          <a:srgbClr val="9BAF91"/>
                        </a:solidFill>
                        <a:ln w="9525">
                          <a:noFill/>
                          <a:miter lim="800000"/>
                          <a:headEnd/>
                          <a:tailEnd/>
                        </a:ln>
                      </wps:spPr>
                      <wps:txbx>
                        <w:txbxContent>
                          <w:p w14:paraId="2E3650CD" w14:textId="1436DE48" w:rsidR="00D76477" w:rsidRPr="006750E5" w:rsidRDefault="00D76477">
                            <w:pPr>
                              <w:rPr>
                                <w:b/>
                                <w:bCs/>
                              </w:rPr>
                            </w:pPr>
                            <w:r>
                              <w:rPr>
                                <w:b/>
                                <w:bCs/>
                              </w:rPr>
                              <w:t>“</w:t>
                            </w:r>
                            <w:r w:rsidRPr="006750E5">
                              <w:rPr>
                                <w:b/>
                                <w:bCs/>
                              </w:rPr>
                              <w:t xml:space="preserve">I always felt what was happening to me was </w:t>
                            </w:r>
                            <w:proofErr w:type="gramStart"/>
                            <w:r w:rsidRPr="006750E5">
                              <w:rPr>
                                <w:b/>
                                <w:bCs/>
                              </w:rPr>
                              <w:t>wrong</w:t>
                            </w:r>
                            <w:proofErr w:type="gramEnd"/>
                            <w:r w:rsidRPr="006750E5">
                              <w:rPr>
                                <w:b/>
                                <w:bCs/>
                              </w:rPr>
                              <w:t xml:space="preserve"> but I just didn’t know why it upset me so much. He wasn’t beating </w:t>
                            </w:r>
                            <w:proofErr w:type="gramStart"/>
                            <w:r w:rsidRPr="006750E5">
                              <w:rPr>
                                <w:b/>
                                <w:bCs/>
                              </w:rPr>
                              <w:t>me,</w:t>
                            </w:r>
                            <w:proofErr w:type="gramEnd"/>
                            <w:r w:rsidRPr="006750E5">
                              <w:rPr>
                                <w:b/>
                                <w:bCs/>
                              </w:rPr>
                              <w:t xml:space="preserve"> he wasn’t mean to me. He just would not wear a condom. In every way we had an equal say in our relationship, apart from contraception. To name what happened to me helps.</w:t>
                            </w:r>
                            <w:r>
                              <w:rPr>
                                <w:b/>
                                <w:bCs/>
                              </w:rPr>
                              <w:t>”</w:t>
                            </w:r>
                          </w:p>
                          <w:p w14:paraId="022D2801" w14:textId="4D6299D7" w:rsidR="00D76477" w:rsidRPr="006750E5" w:rsidRDefault="00D76477">
                            <w:pPr>
                              <w:rPr>
                                <w:b/>
                                <w:bCs/>
                              </w:rPr>
                            </w:pPr>
                            <w:r w:rsidRPr="006750E5">
                              <w:rPr>
                                <w:b/>
                                <w:bCs/>
                              </w:rPr>
                              <w:t>Sasha* Sydney</w:t>
                            </w:r>
                          </w:p>
                          <w:p w14:paraId="5AB4B9FA" w14:textId="1177334C" w:rsidR="00D76477" w:rsidRPr="006750E5" w:rsidRDefault="00D76477">
                            <w:pPr>
                              <w:rPr>
                                <w:b/>
                                <w:bCs/>
                              </w:rPr>
                            </w:pPr>
                            <w:r w:rsidRPr="006750E5">
                              <w:rPr>
                                <w:b/>
                                <w:bCs/>
                              </w:rPr>
                              <w:t>Name has been changed for privacy.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97EAD" id="Text Box 2" o:spid="_x0000_s1027" type="#_x0000_t202" style="position:absolute;margin-left:0;margin-top:122.6pt;width:436.8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" fillcolor="#9baf91" stroked="f">
                <v:textbox style="mso-fit-shape-to-text:t">
                  <w:txbxContent>
                    <w:p w14:paraId="2E3650CD" w14:textId="1436DE48" w:rsidR="00D76477" w:rsidRPr="006750E5" w:rsidRDefault="00D76477">
                      <w:pPr>
                        <w:rPr>
                          <w:b/>
                          <w:bCs/>
                        </w:rPr>
                      </w:pPr>
                      <w:r>
                        <w:rPr>
                          <w:b/>
                          <w:bCs/>
                        </w:rPr>
                        <w:t>“</w:t>
                      </w:r>
                      <w:r w:rsidRPr="006750E5">
                        <w:rPr>
                          <w:b/>
                          <w:bCs/>
                        </w:rPr>
                        <w:t xml:space="preserve">I always felt what was happening to me was </w:t>
                      </w:r>
                      <w:proofErr w:type="gramStart"/>
                      <w:r w:rsidRPr="006750E5">
                        <w:rPr>
                          <w:b/>
                          <w:bCs/>
                        </w:rPr>
                        <w:t>wrong</w:t>
                      </w:r>
                      <w:proofErr w:type="gramEnd"/>
                      <w:r w:rsidRPr="006750E5">
                        <w:rPr>
                          <w:b/>
                          <w:bCs/>
                        </w:rPr>
                        <w:t xml:space="preserve"> but I just didn’t know why it upset me so much. He wasn’t beating </w:t>
                      </w:r>
                      <w:proofErr w:type="gramStart"/>
                      <w:r w:rsidRPr="006750E5">
                        <w:rPr>
                          <w:b/>
                          <w:bCs/>
                        </w:rPr>
                        <w:t>me,</w:t>
                      </w:r>
                      <w:proofErr w:type="gramEnd"/>
                      <w:r w:rsidRPr="006750E5">
                        <w:rPr>
                          <w:b/>
                          <w:bCs/>
                        </w:rPr>
                        <w:t xml:space="preserve"> he wasn’t mean to me. He just would not wear a condom. In every way we had an equal say in our relationship, apart from contraception. To name what happened to me helps.</w:t>
                      </w:r>
                      <w:r>
                        <w:rPr>
                          <w:b/>
                          <w:bCs/>
                        </w:rPr>
                        <w:t>”</w:t>
                      </w:r>
                    </w:p>
                    <w:p w14:paraId="022D2801" w14:textId="4D6299D7" w:rsidR="00D76477" w:rsidRPr="006750E5" w:rsidRDefault="00D76477">
                      <w:pPr>
                        <w:rPr>
                          <w:b/>
                          <w:bCs/>
                        </w:rPr>
                      </w:pPr>
                      <w:r w:rsidRPr="006750E5">
                        <w:rPr>
                          <w:b/>
                          <w:bCs/>
                        </w:rPr>
                        <w:t>Sasha* Sydney</w:t>
                      </w:r>
                    </w:p>
                    <w:p w14:paraId="5AB4B9FA" w14:textId="1177334C" w:rsidR="00D76477" w:rsidRPr="006750E5" w:rsidRDefault="00D76477">
                      <w:pPr>
                        <w:rPr>
                          <w:b/>
                          <w:bCs/>
                        </w:rPr>
                      </w:pPr>
                      <w:r w:rsidRPr="006750E5">
                        <w:rPr>
                          <w:b/>
                          <w:bCs/>
                        </w:rPr>
                        <w:t>Name has been changed for privacy.</w:t>
                      </w:r>
                    </w:p>
                  </w:txbxContent>
                </v:textbox>
                <w10:wrap type="square" anchorx="margin"/>
              </v:shape>
            </w:pict>
          </mc:Fallback>
        </mc:AlternateContent>
      </w:r>
      <w:r w:rsidR="00581A5E" w:rsidRPr="00A618BE">
        <w:t xml:space="preserve">Finding a workable definition of </w:t>
      </w:r>
      <w:r w:rsidR="000C4368">
        <w:t>r</w:t>
      </w:r>
      <w:r w:rsidR="000C4368" w:rsidRPr="00A618BE">
        <w:t xml:space="preserve">eproductive </w:t>
      </w:r>
      <w:r w:rsidR="000C4368">
        <w:t>c</w:t>
      </w:r>
      <w:r w:rsidR="000C4368" w:rsidRPr="00A618BE">
        <w:t>oercion</w:t>
      </w:r>
      <w:r w:rsidR="000C4368">
        <w:t xml:space="preserve"> </w:t>
      </w:r>
      <w:r w:rsidR="00581A5E" w:rsidRPr="00A618BE">
        <w:t xml:space="preserve">was the most prominent theme emerging from submissions in both consultation phases. Submissions provided by individuals regarding their experiences of </w:t>
      </w:r>
      <w:r w:rsidR="000C4368">
        <w:t>r</w:t>
      </w:r>
      <w:r w:rsidR="000C4368" w:rsidRPr="00A618BE">
        <w:t xml:space="preserve">eproductive </w:t>
      </w:r>
      <w:r w:rsidR="000C4368">
        <w:t>c</w:t>
      </w:r>
      <w:r w:rsidR="000C4368" w:rsidRPr="00A618BE">
        <w:t>oercion</w:t>
      </w:r>
      <w:r w:rsidR="000C4368">
        <w:t xml:space="preserve"> </w:t>
      </w:r>
      <w:r w:rsidR="00581A5E" w:rsidRPr="00A618BE">
        <w:t xml:space="preserve">emphasised the importance of being able to have a name for what they experienced and a definition that enabled them to describe their experiences of </w:t>
      </w:r>
      <w:r w:rsidR="000C4368">
        <w:t>r</w:t>
      </w:r>
      <w:r w:rsidR="000C4368" w:rsidRPr="00A618BE">
        <w:t xml:space="preserve">eproductive </w:t>
      </w:r>
      <w:r w:rsidR="000C4368">
        <w:t>c</w:t>
      </w:r>
      <w:r w:rsidR="000C4368" w:rsidRPr="00A618BE">
        <w:t>oercion</w:t>
      </w:r>
      <w:r w:rsidR="00581A5E">
        <w:t>.</w:t>
      </w:r>
      <w:r w:rsidR="00581A5E" w:rsidRPr="00A618BE">
        <w:rPr>
          <w:rStyle w:val="EndnoteReference"/>
        </w:rPr>
        <w:endnoteReference w:id="20"/>
      </w:r>
      <w:r w:rsidR="00581A5E" w:rsidRPr="00A618BE">
        <w:t xml:space="preserve"> Definitional debates are also a key feature in much of the Australian research that has been conducted on </w:t>
      </w:r>
      <w:r w:rsidR="00194CC8">
        <w:t>r</w:t>
      </w:r>
      <w:r w:rsidR="00194CC8" w:rsidRPr="00A618BE">
        <w:t xml:space="preserve">eproductive </w:t>
      </w:r>
      <w:r w:rsidR="00194CC8">
        <w:t>c</w:t>
      </w:r>
      <w:r w:rsidR="00194CC8" w:rsidRPr="00A618BE">
        <w:t>oercion</w:t>
      </w:r>
      <w:r w:rsidR="00194CC8">
        <w:t xml:space="preserve"> </w:t>
      </w:r>
      <w:r w:rsidR="00581A5E" w:rsidRPr="00A618BE">
        <w:t xml:space="preserve">to date. </w:t>
      </w:r>
    </w:p>
    <w:p w14:paraId="10AB2518" w14:textId="61942618" w:rsidR="00175D9C" w:rsidRPr="00A618BE" w:rsidRDefault="00175D9C" w:rsidP="00D0581F"/>
    <w:p w14:paraId="3C0A592D" w14:textId="591A5F0D" w:rsidR="00581A5E" w:rsidRPr="00A618BE" w:rsidRDefault="00581A5E" w:rsidP="00D0581F">
      <w:r w:rsidRPr="00A618BE">
        <w:t xml:space="preserve">Nearly all submissions highlighted the need to develop a definition of </w:t>
      </w:r>
      <w:r w:rsidR="00194CC8">
        <w:t>r</w:t>
      </w:r>
      <w:r w:rsidR="00194CC8" w:rsidRPr="00A618BE">
        <w:t xml:space="preserve">eproductive </w:t>
      </w:r>
      <w:r w:rsidR="00194CC8">
        <w:t>c</w:t>
      </w:r>
      <w:r w:rsidR="00194CC8" w:rsidRPr="00A618BE">
        <w:t>oercion</w:t>
      </w:r>
      <w:r w:rsidR="00194CC8">
        <w:t xml:space="preserve"> </w:t>
      </w:r>
      <w:r w:rsidRPr="00A618BE">
        <w:t>that explicitly considers the interrelationship with FV and IPV. It is noteworthy that SV was referred to in a minority of submissions.</w:t>
      </w:r>
    </w:p>
    <w:p w14:paraId="740BD641" w14:textId="63BD6284" w:rsidR="00581A5E" w:rsidRPr="00A618BE" w:rsidRDefault="00581A5E" w:rsidP="00D0581F">
      <w:r w:rsidRPr="00A618BE">
        <w:t xml:space="preserve">Submissions also highlighted that a useful definition of </w:t>
      </w:r>
      <w:r w:rsidR="000C4368">
        <w:t>r</w:t>
      </w:r>
      <w:r w:rsidR="000C4368" w:rsidRPr="00A618BE">
        <w:t xml:space="preserve">eproductive </w:t>
      </w:r>
      <w:r w:rsidR="000C4368">
        <w:t>c</w:t>
      </w:r>
      <w:r w:rsidR="000C4368" w:rsidRPr="00A618BE">
        <w:t>oercion</w:t>
      </w:r>
      <w:r w:rsidR="000C4368">
        <w:t xml:space="preserve"> </w:t>
      </w:r>
      <w:r w:rsidRPr="00A618BE">
        <w:t>should capture:</w:t>
      </w:r>
    </w:p>
    <w:p w14:paraId="72474CFB" w14:textId="4584A364" w:rsidR="009E1676" w:rsidRPr="00A618BE" w:rsidRDefault="004C6B33" w:rsidP="00D0581F">
      <w:pPr>
        <w:pStyle w:val="ListParagraph"/>
        <w:numPr>
          <w:ilvl w:val="0"/>
          <w:numId w:val="30"/>
        </w:numPr>
        <w:spacing w:before="240" w:after="240"/>
      </w:pPr>
      <w:r>
        <w:t>t</w:t>
      </w:r>
      <w:r w:rsidR="009E1676" w:rsidRPr="00A618BE">
        <w:t>he experience of the person who is being coerced</w:t>
      </w:r>
    </w:p>
    <w:p w14:paraId="052783B0" w14:textId="561D8212" w:rsidR="00581A5E" w:rsidRPr="00A618BE" w:rsidRDefault="004C6B33" w:rsidP="00D0581F">
      <w:pPr>
        <w:pStyle w:val="ListParagraph"/>
        <w:numPr>
          <w:ilvl w:val="0"/>
          <w:numId w:val="30"/>
        </w:numPr>
        <w:spacing w:before="240" w:after="240"/>
      </w:pPr>
      <w:r>
        <w:t>t</w:t>
      </w:r>
      <w:r w:rsidR="00581A5E" w:rsidRPr="00A618BE">
        <w:t>he intention of the perpetrator to exert power and control over another individual’s reproductive rights</w:t>
      </w:r>
    </w:p>
    <w:p w14:paraId="390E7F7E" w14:textId="22DF26B7" w:rsidR="00581A5E" w:rsidRPr="00A618BE" w:rsidRDefault="004C6B33" w:rsidP="00D0581F">
      <w:pPr>
        <w:pStyle w:val="ListParagraph"/>
        <w:numPr>
          <w:ilvl w:val="0"/>
          <w:numId w:val="30"/>
        </w:numPr>
        <w:spacing w:before="240" w:after="240"/>
      </w:pPr>
      <w:r>
        <w:t>t</w:t>
      </w:r>
      <w:r w:rsidR="00581A5E" w:rsidRPr="00A618BE">
        <w:t xml:space="preserve">he interpersonal nature of </w:t>
      </w:r>
      <w:r w:rsidR="000C4368">
        <w:t>r</w:t>
      </w:r>
      <w:r w:rsidR="000C4368" w:rsidRPr="00A618BE">
        <w:t xml:space="preserve">eproductive </w:t>
      </w:r>
      <w:r w:rsidR="000C4368">
        <w:t>c</w:t>
      </w:r>
      <w:r w:rsidR="000C4368" w:rsidRPr="00A618BE">
        <w:t>oercion</w:t>
      </w:r>
      <w:r w:rsidR="000C4368">
        <w:t xml:space="preserve"> </w:t>
      </w:r>
      <w:r w:rsidR="00581A5E" w:rsidRPr="00A618BE">
        <w:t xml:space="preserve">and close links to IPV, FV and SV. </w:t>
      </w:r>
    </w:p>
    <w:p w14:paraId="689036F1" w14:textId="77777777" w:rsidR="004C6B33" w:rsidRDefault="004C6B33">
      <w:pPr>
        <w:spacing w:after="160" w:line="259" w:lineRule="auto"/>
      </w:pPr>
      <w:r>
        <w:br w:type="page"/>
      </w:r>
    </w:p>
    <w:p w14:paraId="7C3DD3F8" w14:textId="65DCF42C" w:rsidR="00581A5E" w:rsidRPr="00A618BE" w:rsidRDefault="00581A5E" w:rsidP="00D0581F">
      <w:r w:rsidRPr="00A618BE">
        <w:lastRenderedPageBreak/>
        <w:t xml:space="preserve">Many submissions also noted that there are significant structural forces at play that can and do interfere with a person’s autonomous decision-making regarding reproductive health, including abortion law, access to maternity care, and gender inequality. These structural forces limit reproductive health decision-making </w:t>
      </w:r>
      <w:proofErr w:type="gramStart"/>
      <w:r w:rsidRPr="00A618BE">
        <w:t>directly, or</w:t>
      </w:r>
      <w:proofErr w:type="gramEnd"/>
      <w:r w:rsidRPr="00A618BE">
        <w:t xml:space="preserve"> encourage the development of attitudes and behaviours that promote and allow </w:t>
      </w:r>
      <w:r w:rsidR="000C4368">
        <w:t>r</w:t>
      </w:r>
      <w:r w:rsidR="000C4368" w:rsidRPr="00A618BE">
        <w:t xml:space="preserve">eproductive </w:t>
      </w:r>
      <w:r w:rsidR="000C4368">
        <w:t>c</w:t>
      </w:r>
      <w:r w:rsidR="000C4368" w:rsidRPr="00A618BE">
        <w:t>oercion</w:t>
      </w:r>
      <w:r w:rsidR="009E1676">
        <w:t xml:space="preserve"> in healthcare settings.</w:t>
      </w:r>
      <w:r w:rsidRPr="00A618BE">
        <w:t xml:space="preserve"> </w:t>
      </w:r>
    </w:p>
    <w:p w14:paraId="6AF9D112" w14:textId="7F989829" w:rsidR="00581A5E" w:rsidRPr="00A618BE" w:rsidRDefault="00581A5E" w:rsidP="00D0581F">
      <w:r w:rsidRPr="00A618BE">
        <w:t xml:space="preserve">If we are to fully explore </w:t>
      </w:r>
      <w:r w:rsidR="000C4368">
        <w:t>r</w:t>
      </w:r>
      <w:r w:rsidR="000C4368" w:rsidRPr="00A618BE">
        <w:t xml:space="preserve">eproductive </w:t>
      </w:r>
      <w:r w:rsidR="000C4368">
        <w:t>c</w:t>
      </w:r>
      <w:r w:rsidR="000C4368" w:rsidRPr="00A618BE">
        <w:t>oercion</w:t>
      </w:r>
      <w:r w:rsidR="000C4368">
        <w:t xml:space="preserve"> </w:t>
      </w:r>
      <w:r w:rsidRPr="00A618BE">
        <w:t>in the Australian context</w:t>
      </w:r>
      <w:r w:rsidR="004C6B33">
        <w:t>,</w:t>
      </w:r>
      <w:r w:rsidRPr="00A618BE">
        <w:t xml:space="preserve"> we must examine both the interpersonal dimension and the structural factors that enable or support </w:t>
      </w:r>
      <w:r w:rsidR="009E1676">
        <w:t>reproductive coercion</w:t>
      </w:r>
      <w:r w:rsidRPr="00A618BE">
        <w:t xml:space="preserve">. For this reason, </w:t>
      </w:r>
      <w:r w:rsidR="009E1676">
        <w:t>this paper has</w:t>
      </w:r>
      <w:r w:rsidR="009E1676" w:rsidRPr="00A618BE">
        <w:t xml:space="preserve"> </w:t>
      </w:r>
      <w:r w:rsidRPr="00A618BE">
        <w:t xml:space="preserve">identified two dimensions of </w:t>
      </w:r>
      <w:r w:rsidR="000C4368">
        <w:t>r</w:t>
      </w:r>
      <w:r w:rsidR="000C4368" w:rsidRPr="00A618BE">
        <w:t xml:space="preserve">eproductive </w:t>
      </w:r>
      <w:r w:rsidR="000C4368">
        <w:t>c</w:t>
      </w:r>
      <w:r w:rsidR="000C4368" w:rsidRPr="00A618BE">
        <w:t>oercion</w:t>
      </w:r>
      <w:r w:rsidRPr="00A618BE">
        <w:t xml:space="preserve">: interpersonal </w:t>
      </w:r>
      <w:r w:rsidR="000C4368">
        <w:t>r</w:t>
      </w:r>
      <w:r w:rsidR="000C4368" w:rsidRPr="00A618BE">
        <w:t xml:space="preserve">eproductive </w:t>
      </w:r>
      <w:r w:rsidR="000C4368">
        <w:t>c</w:t>
      </w:r>
      <w:r w:rsidR="000C4368" w:rsidRPr="00A618BE">
        <w:t>oercion</w:t>
      </w:r>
      <w:r w:rsidRPr="00A618BE">
        <w:t xml:space="preserve">, and structural </w:t>
      </w:r>
      <w:r w:rsidR="000C4368">
        <w:t>r</w:t>
      </w:r>
      <w:r w:rsidR="000C4368" w:rsidRPr="00A618BE">
        <w:t xml:space="preserve">eproductive </w:t>
      </w:r>
      <w:r w:rsidR="000C4368">
        <w:t>c</w:t>
      </w:r>
      <w:r w:rsidR="000C4368" w:rsidRPr="00A618BE">
        <w:t>oercion</w:t>
      </w:r>
      <w:r w:rsidRPr="00A618BE">
        <w:t xml:space="preserve">. While both the interpersonal and the structural intersect with each other, the structural forms of coercion reinforce harmful attitudes contributing to an environment that helps to create interpersonal </w:t>
      </w:r>
      <w:r w:rsidR="000C4368">
        <w:t>r</w:t>
      </w:r>
      <w:r w:rsidR="000C4368" w:rsidRPr="00A618BE">
        <w:t xml:space="preserve">eproductive </w:t>
      </w:r>
      <w:r w:rsidR="000C4368">
        <w:t>c</w:t>
      </w:r>
      <w:r w:rsidR="000C4368" w:rsidRPr="00A618BE">
        <w:t>oercion</w:t>
      </w:r>
      <w:r w:rsidRPr="00A618BE">
        <w:t xml:space="preserve">. </w:t>
      </w:r>
    </w:p>
    <w:p w14:paraId="0CD682AC" w14:textId="77777777" w:rsidR="00581A5E" w:rsidRPr="00A618BE" w:rsidRDefault="00581A5E" w:rsidP="00D0581F">
      <w:pPr>
        <w:pStyle w:val="Heading2"/>
      </w:pPr>
      <w:bookmarkStart w:id="103" w:name="_Toc530573354"/>
      <w:bookmarkStart w:id="104" w:name="_Toc57368600"/>
      <w:r w:rsidRPr="00A618BE">
        <w:t>A definition</w:t>
      </w:r>
      <w:bookmarkEnd w:id="103"/>
      <w:bookmarkEnd w:id="104"/>
      <w:r w:rsidRPr="00A618BE">
        <w:t xml:space="preserve"> </w:t>
      </w:r>
    </w:p>
    <w:p w14:paraId="1C5FBFF3" w14:textId="6A608CD0" w:rsidR="00581A5E" w:rsidRPr="00A618BE" w:rsidRDefault="000C4368" w:rsidP="00D0581F">
      <w:r>
        <w:t>R</w:t>
      </w:r>
      <w:r w:rsidRPr="00A618BE">
        <w:t xml:space="preserve">eproductive </w:t>
      </w:r>
      <w:r>
        <w:t>c</w:t>
      </w:r>
      <w:r w:rsidRPr="00A618BE">
        <w:t>oercion</w:t>
      </w:r>
      <w:r>
        <w:t xml:space="preserve"> </w:t>
      </w:r>
      <w:r w:rsidR="00581A5E" w:rsidRPr="00A618BE">
        <w:t xml:space="preserve">in this </w:t>
      </w:r>
      <w:r w:rsidR="004C6B33">
        <w:t>w</w:t>
      </w:r>
      <w:r w:rsidR="00581A5E" w:rsidRPr="00A618BE">
        <w:t xml:space="preserve">hite </w:t>
      </w:r>
      <w:r w:rsidR="004C6B33">
        <w:t>p</w:t>
      </w:r>
      <w:r w:rsidR="00581A5E" w:rsidRPr="00A618BE">
        <w:t>aper is defined as any behaviour that interferes with the autonomy of a person to make decisions about their reproductive health</w:t>
      </w:r>
      <w:r w:rsidR="00581A5E">
        <w:t>.</w:t>
      </w:r>
      <w:r w:rsidR="00581A5E" w:rsidRPr="00A618BE">
        <w:rPr>
          <w:rStyle w:val="EndnoteReference"/>
        </w:rPr>
        <w:endnoteReference w:id="21"/>
      </w:r>
      <w:r w:rsidR="00581A5E" w:rsidRPr="00A618BE">
        <w:t xml:space="preserve"> </w:t>
      </w:r>
      <w:r>
        <w:t>R</w:t>
      </w:r>
      <w:r w:rsidRPr="00A618BE">
        <w:t xml:space="preserve">eproductive </w:t>
      </w:r>
      <w:r>
        <w:t>c</w:t>
      </w:r>
      <w:r w:rsidRPr="00A618BE">
        <w:t>oercion</w:t>
      </w:r>
      <w:r>
        <w:t xml:space="preserve"> </w:t>
      </w:r>
      <w:r w:rsidR="00581A5E" w:rsidRPr="00A618BE">
        <w:t>includes any behaviour that has the intention of controlling or constraining another person’s reproductive health decision-making and can take a variety of forms</w:t>
      </w:r>
      <w:r w:rsidR="00581A5E">
        <w:t>:</w:t>
      </w:r>
      <w:r w:rsidR="00581A5E" w:rsidRPr="00A618BE">
        <w:t xml:space="preserve"> </w:t>
      </w:r>
    </w:p>
    <w:p w14:paraId="2053A159" w14:textId="0735CE7F" w:rsidR="00581A5E" w:rsidRPr="00A618BE" w:rsidRDefault="004C6B33" w:rsidP="00D0581F">
      <w:pPr>
        <w:pStyle w:val="ListParagraph"/>
        <w:numPr>
          <w:ilvl w:val="0"/>
          <w:numId w:val="7"/>
        </w:numPr>
        <w:spacing w:before="240" w:after="240"/>
      </w:pPr>
      <w:r>
        <w:t>s</w:t>
      </w:r>
      <w:r w:rsidR="00581A5E" w:rsidRPr="00A618BE">
        <w:t xml:space="preserve">abotage of another person’s contraception: e.g. deliberately removing or damaging a </w:t>
      </w:r>
      <w:r w:rsidRPr="00A618BE">
        <w:t>condom or</w:t>
      </w:r>
      <w:r w:rsidR="00581A5E" w:rsidRPr="00A618BE">
        <w:t xml:space="preserve"> hiding or disposing of oral contraceptives</w:t>
      </w:r>
    </w:p>
    <w:p w14:paraId="4361A587" w14:textId="2C32CF22" w:rsidR="00581A5E" w:rsidRPr="00A618BE" w:rsidRDefault="004C6B33" w:rsidP="00D0581F">
      <w:pPr>
        <w:pStyle w:val="ListParagraph"/>
        <w:numPr>
          <w:ilvl w:val="0"/>
          <w:numId w:val="7"/>
        </w:numPr>
        <w:spacing w:before="240" w:after="240"/>
      </w:pPr>
      <w:r>
        <w:t>p</w:t>
      </w:r>
      <w:r w:rsidR="00581A5E" w:rsidRPr="00A618BE">
        <w:t>ressuring another person into pregnancy</w:t>
      </w:r>
    </w:p>
    <w:p w14:paraId="14180FDA" w14:textId="4134265F" w:rsidR="00581A5E" w:rsidRPr="00A618BE" w:rsidRDefault="004C6B33" w:rsidP="00D0581F">
      <w:pPr>
        <w:pStyle w:val="ListParagraph"/>
        <w:numPr>
          <w:ilvl w:val="0"/>
          <w:numId w:val="7"/>
        </w:numPr>
        <w:spacing w:before="240" w:after="240"/>
      </w:pPr>
      <w:r>
        <w:t>c</w:t>
      </w:r>
      <w:r w:rsidR="00581A5E" w:rsidRPr="00A618BE">
        <w:t>ontrolling the outcome of another person’s pregnancy. For example, forcing another person to continue a pregnancy or forcing another person to terminate a pregnancy</w:t>
      </w:r>
    </w:p>
    <w:p w14:paraId="7A24CF92" w14:textId="04776AE8" w:rsidR="00581A5E" w:rsidRDefault="004C6B33" w:rsidP="00D0581F">
      <w:pPr>
        <w:pStyle w:val="ListParagraph"/>
        <w:numPr>
          <w:ilvl w:val="0"/>
          <w:numId w:val="7"/>
        </w:numPr>
        <w:spacing w:before="240" w:after="240"/>
      </w:pPr>
      <w:r>
        <w:t>f</w:t>
      </w:r>
      <w:r w:rsidR="00581A5E" w:rsidRPr="00A618BE">
        <w:t>orcing or coercing a person into sterilisation.</w:t>
      </w:r>
    </w:p>
    <w:p w14:paraId="713C08C6" w14:textId="48490F88" w:rsidR="00581A5E" w:rsidRPr="00A618BE" w:rsidRDefault="000C4368" w:rsidP="00D0581F">
      <w:r>
        <w:t>R</w:t>
      </w:r>
      <w:r w:rsidRPr="00A618BE">
        <w:t xml:space="preserve">eproductive </w:t>
      </w:r>
      <w:r>
        <w:t>c</w:t>
      </w:r>
      <w:r w:rsidRPr="00A618BE">
        <w:t>oercion</w:t>
      </w:r>
      <w:r>
        <w:t xml:space="preserve"> </w:t>
      </w:r>
      <w:r w:rsidR="00581A5E">
        <w:t>is exercised in two domains, the</w:t>
      </w:r>
      <w:r w:rsidR="00581A5E" w:rsidRPr="00541E8C">
        <w:rPr>
          <w:b/>
        </w:rPr>
        <w:t xml:space="preserve"> interpersonal</w:t>
      </w:r>
      <w:r w:rsidR="00581A5E">
        <w:t xml:space="preserve"> and the </w:t>
      </w:r>
      <w:r w:rsidR="00581A5E" w:rsidRPr="00541E8C">
        <w:rPr>
          <w:b/>
        </w:rPr>
        <w:t>structural.</w:t>
      </w:r>
      <w:r w:rsidR="00581A5E">
        <w:t xml:space="preserve"> </w:t>
      </w:r>
    </w:p>
    <w:p w14:paraId="27299422" w14:textId="35E5A747" w:rsidR="00581A5E" w:rsidRPr="00331F71" w:rsidRDefault="00581A5E" w:rsidP="00D0581F">
      <w:pPr>
        <w:rPr>
          <w:b/>
        </w:rPr>
      </w:pPr>
      <w:r w:rsidRPr="00331F71">
        <w:rPr>
          <w:b/>
        </w:rPr>
        <w:t xml:space="preserve">Interpersonal </w:t>
      </w:r>
      <w:r w:rsidR="000C4368">
        <w:t>r</w:t>
      </w:r>
      <w:r w:rsidR="000C4368" w:rsidRPr="00A618BE">
        <w:t xml:space="preserve">eproductive </w:t>
      </w:r>
      <w:r w:rsidR="000C4368">
        <w:t>c</w:t>
      </w:r>
      <w:r w:rsidR="000C4368" w:rsidRPr="00A618BE">
        <w:t>oercion</w:t>
      </w:r>
    </w:p>
    <w:p w14:paraId="0124AE1A" w14:textId="70E4ABD0" w:rsidR="00581A5E" w:rsidRPr="00A618BE" w:rsidRDefault="00581A5E" w:rsidP="00D0581F">
      <w:r w:rsidRPr="00A618BE">
        <w:t xml:space="preserve">Interpersonal </w:t>
      </w:r>
      <w:r w:rsidR="000C4368">
        <w:t>r</w:t>
      </w:r>
      <w:r w:rsidR="000C4368" w:rsidRPr="00A618BE">
        <w:t xml:space="preserve">eproductive </w:t>
      </w:r>
      <w:r w:rsidR="000C4368">
        <w:t>c</w:t>
      </w:r>
      <w:r w:rsidR="000C4368" w:rsidRPr="00A618BE">
        <w:t>oercion</w:t>
      </w:r>
      <w:r w:rsidR="000C4368">
        <w:t xml:space="preserve"> </w:t>
      </w:r>
      <w:r w:rsidRPr="00A618BE">
        <w:t xml:space="preserve">is the deliberate action by an individual to interfere with the autonomous reproductive health decision-making of another person. Interpersonal </w:t>
      </w:r>
      <w:r w:rsidR="000C4368">
        <w:t>r</w:t>
      </w:r>
      <w:r w:rsidR="000C4368" w:rsidRPr="00A618BE">
        <w:t xml:space="preserve">eproductive </w:t>
      </w:r>
      <w:r w:rsidR="000C4368">
        <w:t>c</w:t>
      </w:r>
      <w:r w:rsidR="000C4368" w:rsidRPr="00A618BE">
        <w:t>oercion</w:t>
      </w:r>
      <w:r w:rsidR="000C4368">
        <w:t xml:space="preserve"> </w:t>
      </w:r>
      <w:r w:rsidRPr="00A618BE">
        <w:t xml:space="preserve">can involve SV and may take place within the context of </w:t>
      </w:r>
      <w:r>
        <w:t>FV</w:t>
      </w:r>
      <w:r w:rsidRPr="00A618BE">
        <w:t xml:space="preserve"> and IPV. </w:t>
      </w:r>
      <w:r w:rsidR="000C4368">
        <w:t>R</w:t>
      </w:r>
      <w:r w:rsidR="000C4368" w:rsidRPr="00A618BE">
        <w:t xml:space="preserve">eproductive </w:t>
      </w:r>
      <w:r w:rsidR="000C4368">
        <w:t>c</w:t>
      </w:r>
      <w:r w:rsidR="000C4368" w:rsidRPr="00A618BE">
        <w:t>oercion</w:t>
      </w:r>
      <w:r w:rsidR="000C4368">
        <w:t xml:space="preserve"> </w:t>
      </w:r>
      <w:r w:rsidRPr="00A618BE">
        <w:t>may be exerted using physically violent or non-violent tactics</w:t>
      </w:r>
      <w:r>
        <w:t>.</w:t>
      </w:r>
      <w:r w:rsidRPr="00A618BE">
        <w:rPr>
          <w:rStyle w:val="EndnoteReference"/>
        </w:rPr>
        <w:endnoteReference w:id="22"/>
      </w:r>
      <w:r w:rsidRPr="00A618BE">
        <w:t xml:space="preserve"> The dominant theme is that power and control are exerted on the person experiencing </w:t>
      </w:r>
      <w:r w:rsidR="000C4368">
        <w:t>r</w:t>
      </w:r>
      <w:r w:rsidR="000C4368" w:rsidRPr="00A618BE">
        <w:t xml:space="preserve">eproductive </w:t>
      </w:r>
      <w:r w:rsidR="000C4368">
        <w:t>c</w:t>
      </w:r>
      <w:r w:rsidR="000C4368" w:rsidRPr="00A618BE">
        <w:t>oercion</w:t>
      </w:r>
      <w:r w:rsidRPr="00A618BE">
        <w:t>.</w:t>
      </w:r>
    </w:p>
    <w:p w14:paraId="7737D570" w14:textId="77777777" w:rsidR="00581A5E" w:rsidRDefault="00581A5E" w:rsidP="00D0581F">
      <w:pPr>
        <w:rPr>
          <w:b/>
        </w:rPr>
      </w:pPr>
    </w:p>
    <w:p w14:paraId="3F17ED93" w14:textId="77777777" w:rsidR="004C6B33" w:rsidRDefault="004C6B33">
      <w:pPr>
        <w:spacing w:after="160" w:line="259" w:lineRule="auto"/>
        <w:rPr>
          <w:b/>
        </w:rPr>
      </w:pPr>
      <w:r>
        <w:rPr>
          <w:b/>
        </w:rPr>
        <w:br w:type="page"/>
      </w:r>
    </w:p>
    <w:p w14:paraId="34041A28" w14:textId="5ED8D2B2" w:rsidR="00581A5E" w:rsidRPr="00331F71" w:rsidRDefault="00581A5E" w:rsidP="00D0581F">
      <w:pPr>
        <w:rPr>
          <w:b/>
        </w:rPr>
      </w:pPr>
      <w:r w:rsidRPr="00331F71">
        <w:rPr>
          <w:b/>
        </w:rPr>
        <w:lastRenderedPageBreak/>
        <w:t xml:space="preserve">Structural </w:t>
      </w:r>
      <w:r w:rsidR="000C4368">
        <w:rPr>
          <w:b/>
        </w:rPr>
        <w:t>f</w:t>
      </w:r>
      <w:r w:rsidRPr="00331F71">
        <w:rPr>
          <w:b/>
        </w:rPr>
        <w:t xml:space="preserve">orms of </w:t>
      </w:r>
      <w:r w:rsidR="000C4368">
        <w:t>r</w:t>
      </w:r>
      <w:r w:rsidR="000C4368" w:rsidRPr="00A618BE">
        <w:t xml:space="preserve">eproductive </w:t>
      </w:r>
      <w:r w:rsidR="000C4368">
        <w:t>c</w:t>
      </w:r>
      <w:r w:rsidR="000C4368" w:rsidRPr="00A618BE">
        <w:t>oercion</w:t>
      </w:r>
    </w:p>
    <w:p w14:paraId="1C6C4846" w14:textId="17426058" w:rsidR="00581A5E" w:rsidRPr="00A618BE" w:rsidRDefault="00581A5E" w:rsidP="00D0581F">
      <w:r w:rsidRPr="00A618BE">
        <w:t xml:space="preserve">Research on the </w:t>
      </w:r>
      <w:r w:rsidR="000C4368">
        <w:t>s</w:t>
      </w:r>
      <w:r w:rsidRPr="00A618BE">
        <w:t xml:space="preserve">ocial </w:t>
      </w:r>
      <w:r w:rsidR="000C4368">
        <w:t>d</w:t>
      </w:r>
      <w:r w:rsidRPr="00A618BE">
        <w:t xml:space="preserve">eterminants of </w:t>
      </w:r>
      <w:r w:rsidR="000C4368">
        <w:t>h</w:t>
      </w:r>
      <w:r w:rsidRPr="00A618BE">
        <w:t>ealth suggest that prevailing social, economic and political policies can and do have an impact on the health and wellbeing of individuals</w:t>
      </w:r>
      <w:r>
        <w:t>.</w:t>
      </w:r>
      <w:r w:rsidRPr="00A618BE">
        <w:rPr>
          <w:rStyle w:val="EndnoteReference"/>
        </w:rPr>
        <w:endnoteReference w:id="23"/>
      </w:r>
      <w:r w:rsidRPr="00A618BE">
        <w:t xml:space="preserve">  Social structures that engender respect and equality are associated with better health and wellbeing outcomes for individuals</w:t>
      </w:r>
      <w:r>
        <w:t>.</w:t>
      </w:r>
      <w:r w:rsidRPr="00A618BE">
        <w:rPr>
          <w:rStyle w:val="EndnoteReference"/>
        </w:rPr>
        <w:endnoteReference w:id="24"/>
      </w:r>
      <w:r w:rsidRPr="00A618BE">
        <w:t xml:space="preserve"> For instance, international evidence shows that where women’s economic, social and political rights are protected and resources and power are equally distributed between women and men, there are lower rates of violence against women</w:t>
      </w:r>
      <w:r>
        <w:t>.</w:t>
      </w:r>
      <w:r w:rsidRPr="00A618BE">
        <w:rPr>
          <w:rStyle w:val="EndnoteReference"/>
        </w:rPr>
        <w:endnoteReference w:id="25"/>
      </w:r>
      <w:r w:rsidRPr="00A618BE">
        <w:t xml:space="preserve">  Applying a </w:t>
      </w:r>
      <w:r w:rsidR="000C4368">
        <w:t>s</w:t>
      </w:r>
      <w:r w:rsidRPr="00A618BE">
        <w:t xml:space="preserve">ocial </w:t>
      </w:r>
      <w:r w:rsidR="000C4368">
        <w:t>d</w:t>
      </w:r>
      <w:r w:rsidRPr="00A618BE">
        <w:t xml:space="preserve">eterminants of </w:t>
      </w:r>
      <w:r w:rsidR="000C4368">
        <w:t>h</w:t>
      </w:r>
      <w:r w:rsidRPr="00A618BE">
        <w:t xml:space="preserve">ealth approach to </w:t>
      </w:r>
      <w:r w:rsidR="000C4368">
        <w:t>r</w:t>
      </w:r>
      <w:r w:rsidR="000C4368" w:rsidRPr="00A618BE">
        <w:t xml:space="preserve">eproductive </w:t>
      </w:r>
      <w:r w:rsidR="000C4368">
        <w:t>c</w:t>
      </w:r>
      <w:r w:rsidR="000C4368" w:rsidRPr="00A618BE">
        <w:t>oercion</w:t>
      </w:r>
      <w:r w:rsidR="000C4368">
        <w:t xml:space="preserve"> </w:t>
      </w:r>
      <w:r w:rsidRPr="00A618BE">
        <w:t xml:space="preserve">is important as it helps to uncover some of the underlying drivers of </w:t>
      </w:r>
      <w:r w:rsidR="000C4368">
        <w:t>r</w:t>
      </w:r>
      <w:r w:rsidR="000C4368" w:rsidRPr="00A618BE">
        <w:t xml:space="preserve">eproductive </w:t>
      </w:r>
      <w:r w:rsidR="000C4368">
        <w:t>c</w:t>
      </w:r>
      <w:r w:rsidR="000C4368" w:rsidRPr="00A618BE">
        <w:t>oercion</w:t>
      </w:r>
      <w:r w:rsidRPr="00A618BE">
        <w:t xml:space="preserve">. </w:t>
      </w:r>
    </w:p>
    <w:p w14:paraId="011D73CF" w14:textId="6876CA69" w:rsidR="00581A5E" w:rsidRPr="00A618BE" w:rsidRDefault="00581A5E" w:rsidP="00D0581F">
      <w:r w:rsidRPr="00A618BE">
        <w:t xml:space="preserve">Structural forms of </w:t>
      </w:r>
      <w:r w:rsidR="000C4368">
        <w:t>r</w:t>
      </w:r>
      <w:r w:rsidR="000C4368" w:rsidRPr="00A618BE">
        <w:t xml:space="preserve">eproductive </w:t>
      </w:r>
      <w:r w:rsidR="000C4368">
        <w:t>c</w:t>
      </w:r>
      <w:r w:rsidR="000C4368" w:rsidRPr="00A618BE">
        <w:t>oercion</w:t>
      </w:r>
      <w:r w:rsidR="000C4368">
        <w:t xml:space="preserve"> </w:t>
      </w:r>
      <w:r w:rsidRPr="00A618BE">
        <w:t xml:space="preserve">are defined as the social, economic, </w:t>
      </w:r>
      <w:proofErr w:type="gramStart"/>
      <w:r w:rsidRPr="00A618BE">
        <w:t>political</w:t>
      </w:r>
      <w:proofErr w:type="gramEnd"/>
      <w:r w:rsidRPr="00A618BE">
        <w:t xml:space="preserve"> and cultural norms, practices and policies that interfere with another person’s autonomous decision-making in relation to their reproductive health. Examples include:</w:t>
      </w:r>
    </w:p>
    <w:p w14:paraId="61F07F86" w14:textId="1285A4CC" w:rsidR="00581A5E" w:rsidRPr="00A618BE" w:rsidRDefault="004C6B33" w:rsidP="00D0581F">
      <w:pPr>
        <w:pStyle w:val="ListParagraph"/>
        <w:numPr>
          <w:ilvl w:val="0"/>
          <w:numId w:val="13"/>
        </w:numPr>
        <w:spacing w:before="240" w:after="240"/>
      </w:pPr>
      <w:r>
        <w:t>g</w:t>
      </w:r>
      <w:r w:rsidR="00581A5E" w:rsidRPr="00A618BE">
        <w:t>overnment policies that impede access to sexual and reproductive health services, including contraception, abortion, and maternity services</w:t>
      </w:r>
    </w:p>
    <w:p w14:paraId="625921C7" w14:textId="773F0E03" w:rsidR="00581A5E" w:rsidRPr="00A618BE" w:rsidRDefault="004C6B33" w:rsidP="00D0581F">
      <w:pPr>
        <w:pStyle w:val="ListParagraph"/>
        <w:numPr>
          <w:ilvl w:val="0"/>
          <w:numId w:val="13"/>
        </w:numPr>
        <w:spacing w:before="240" w:after="240"/>
      </w:pPr>
      <w:r>
        <w:t>e</w:t>
      </w:r>
      <w:r w:rsidR="00581A5E" w:rsidRPr="00A618BE">
        <w:t>conomic policies, such as ‘baby bonus’ tax initiatives that can drive coercive behaviour</w:t>
      </w:r>
    </w:p>
    <w:p w14:paraId="1071BC64" w14:textId="0B808F9E" w:rsidR="00581A5E" w:rsidRPr="00A618BE" w:rsidRDefault="004C6B33" w:rsidP="00D0581F">
      <w:pPr>
        <w:pStyle w:val="ListParagraph"/>
        <w:numPr>
          <w:ilvl w:val="0"/>
          <w:numId w:val="13"/>
        </w:numPr>
        <w:spacing w:before="240" w:after="240"/>
      </w:pPr>
      <w:r>
        <w:t>c</w:t>
      </w:r>
      <w:r w:rsidR="00581A5E" w:rsidRPr="00A618BE">
        <w:t>ultural institutions and beliefs that condemn contraception or abortion</w:t>
      </w:r>
    </w:p>
    <w:p w14:paraId="76550DC9" w14:textId="017E9AA9" w:rsidR="00581A5E" w:rsidRPr="00A618BE" w:rsidRDefault="004C6B33" w:rsidP="00D0581F">
      <w:pPr>
        <w:pStyle w:val="ListParagraph"/>
        <w:numPr>
          <w:ilvl w:val="0"/>
          <w:numId w:val="13"/>
        </w:numPr>
        <w:spacing w:before="240" w:after="240"/>
      </w:pPr>
      <w:r>
        <w:t>g</w:t>
      </w:r>
      <w:r w:rsidR="00581A5E" w:rsidRPr="00A618BE">
        <w:t>ender inequality or community attitudes that promote or enable attitudes supporting violence</w:t>
      </w:r>
    </w:p>
    <w:p w14:paraId="37FEC078" w14:textId="2829271B" w:rsidR="00581A5E" w:rsidRPr="00A618BE" w:rsidRDefault="004C6B33" w:rsidP="00D0581F">
      <w:pPr>
        <w:pStyle w:val="ListParagraph"/>
        <w:numPr>
          <w:ilvl w:val="0"/>
          <w:numId w:val="13"/>
        </w:numPr>
        <w:spacing w:before="240" w:after="240"/>
      </w:pPr>
      <w:r>
        <w:t>c</w:t>
      </w:r>
      <w:r w:rsidR="00581A5E" w:rsidRPr="00A618BE">
        <w:t xml:space="preserve">ultural norms of ‘motherhood’ and ‘fatherhood’ that can create pressure to have or not have children. </w:t>
      </w:r>
    </w:p>
    <w:p w14:paraId="432A9D86" w14:textId="719AFA15" w:rsidR="00581A5E" w:rsidRPr="00331F71" w:rsidRDefault="00581A5E" w:rsidP="00D0581F">
      <w:pPr>
        <w:rPr>
          <w:b/>
        </w:rPr>
      </w:pPr>
      <w:r w:rsidRPr="00331F71">
        <w:rPr>
          <w:b/>
        </w:rPr>
        <w:t xml:space="preserve">Interplay </w:t>
      </w:r>
      <w:r w:rsidR="000C4368">
        <w:rPr>
          <w:b/>
        </w:rPr>
        <w:t>b</w:t>
      </w:r>
      <w:r w:rsidRPr="00331F71">
        <w:rPr>
          <w:b/>
        </w:rPr>
        <w:t xml:space="preserve">etween </w:t>
      </w:r>
      <w:r w:rsidR="000C4368">
        <w:rPr>
          <w:b/>
        </w:rPr>
        <w:t>i</w:t>
      </w:r>
      <w:r w:rsidRPr="00331F71">
        <w:rPr>
          <w:b/>
        </w:rPr>
        <w:t xml:space="preserve">nterpersonal and </w:t>
      </w:r>
      <w:r w:rsidR="000C4368">
        <w:rPr>
          <w:b/>
        </w:rPr>
        <w:t>s</w:t>
      </w:r>
      <w:r w:rsidR="000C4368" w:rsidRPr="00331F71">
        <w:rPr>
          <w:b/>
        </w:rPr>
        <w:t xml:space="preserve">tructural </w:t>
      </w:r>
      <w:r w:rsidR="000C4368" w:rsidRPr="00BE4A29">
        <w:rPr>
          <w:b/>
        </w:rPr>
        <w:t>reproductive coercion</w:t>
      </w:r>
    </w:p>
    <w:p w14:paraId="54EA0707" w14:textId="76FC8CD1" w:rsidR="00581A5E" w:rsidRPr="00541E8C" w:rsidRDefault="00581A5E" w:rsidP="00D0581F">
      <w:r w:rsidRPr="00A618BE">
        <w:t>The interplay between the interpersonal and structural can best be demonstrated using the model in Figure 1</w:t>
      </w:r>
      <w:r>
        <w:t>.</w:t>
      </w:r>
      <w:r w:rsidRPr="00A618BE">
        <w:rPr>
          <w:rStyle w:val="EndnoteReference"/>
        </w:rPr>
        <w:endnoteReference w:id="26"/>
      </w:r>
      <w:r w:rsidRPr="00A618BE">
        <w:t xml:space="preserve"> </w:t>
      </w:r>
      <w:r w:rsidR="000C4368">
        <w:t>R</w:t>
      </w:r>
      <w:r w:rsidR="000C4368" w:rsidRPr="00A618BE">
        <w:t xml:space="preserve">eproductive </w:t>
      </w:r>
      <w:r w:rsidR="000C4368">
        <w:t>c</w:t>
      </w:r>
      <w:r w:rsidR="000C4368" w:rsidRPr="00A618BE">
        <w:t>oercion</w:t>
      </w:r>
      <w:r w:rsidR="000C4368">
        <w:t xml:space="preserve"> </w:t>
      </w:r>
      <w:r w:rsidRPr="00A618BE">
        <w:t xml:space="preserve">intersects with FV, IPV, SV and Intimate Partner </w:t>
      </w:r>
      <w:r>
        <w:t>Sexual Violence (IPSV) – sexual violence that takes place within an IPV setting – with power and control being key elements of all of these forms of violence and coercion</w:t>
      </w:r>
      <w:r w:rsidRPr="00A618BE">
        <w:t xml:space="preserve">. Some societal norms regarding behaviours, practices and attitudes support or enable a perpetrator of </w:t>
      </w:r>
      <w:r w:rsidR="000C4368">
        <w:t>r</w:t>
      </w:r>
      <w:r w:rsidR="000C4368" w:rsidRPr="00A618BE">
        <w:t xml:space="preserve">eproductive </w:t>
      </w:r>
      <w:r w:rsidR="000C4368">
        <w:t>c</w:t>
      </w:r>
      <w:r w:rsidR="000C4368" w:rsidRPr="00A618BE">
        <w:t>oercion</w:t>
      </w:r>
      <w:r w:rsidR="000C4368">
        <w:t xml:space="preserve"> </w:t>
      </w:r>
      <w:r w:rsidRPr="00A618BE">
        <w:t xml:space="preserve">to exert power or control over another person. These societal behaviours, practices and attitudes are, in turn, shaped by the social, economic, </w:t>
      </w:r>
      <w:proofErr w:type="gramStart"/>
      <w:r w:rsidRPr="00A618BE">
        <w:t>political</w:t>
      </w:r>
      <w:proofErr w:type="gramEnd"/>
      <w:r w:rsidRPr="00A618BE">
        <w:t xml:space="preserve"> and cultural environment. </w:t>
      </w:r>
    </w:p>
    <w:p w14:paraId="311C8038" w14:textId="77777777" w:rsidR="00581A5E" w:rsidRDefault="00581A5E" w:rsidP="00D0581F">
      <w:r>
        <w:br w:type="page"/>
      </w:r>
    </w:p>
    <w:p w14:paraId="2D6FB4AB" w14:textId="51B3157A" w:rsidR="00581A5E" w:rsidRPr="00321019" w:rsidRDefault="00581A5E" w:rsidP="00D0581F">
      <w:r w:rsidRPr="00A618BE">
        <w:lastRenderedPageBreak/>
        <w:t xml:space="preserve">Figure 1. Interplay between </w:t>
      </w:r>
      <w:r>
        <w:t xml:space="preserve">interpersonal and structural </w:t>
      </w:r>
      <w:r w:rsidR="000C4368">
        <w:t>r</w:t>
      </w:r>
      <w:r w:rsidR="000C4368" w:rsidRPr="00A618BE">
        <w:t xml:space="preserve">eproductive </w:t>
      </w:r>
      <w:r w:rsidR="000C4368">
        <w:t>c</w:t>
      </w:r>
      <w:r w:rsidR="000C4368" w:rsidRPr="00A618BE">
        <w:t>oercion</w:t>
      </w:r>
    </w:p>
    <w:p w14:paraId="3172D32C" w14:textId="77777777" w:rsidR="00581A5E" w:rsidRDefault="00581A5E" w:rsidP="00D0581F">
      <w:pPr>
        <w:rPr>
          <w:noProof/>
          <w:lang w:val="en-US"/>
        </w:rPr>
      </w:pPr>
    </w:p>
    <w:p w14:paraId="1D1C0AAA" w14:textId="77777777" w:rsidR="00581A5E" w:rsidRPr="00A618BE" w:rsidRDefault="00581A5E" w:rsidP="00D0581F">
      <w:r w:rsidRPr="002E4764">
        <w:rPr>
          <w:noProof/>
          <w:lang w:eastAsia="en-AU"/>
        </w:rPr>
        <w:drawing>
          <wp:inline distT="0" distB="0" distL="0" distR="0" wp14:anchorId="0382447B" wp14:editId="3BE1DC24">
            <wp:extent cx="5730875" cy="4095586"/>
            <wp:effectExtent l="0" t="0" r="3175" b="635"/>
            <wp:docPr id="3" name="Picture 3" descr="O:\Marketing &amp; Comms\Artwork WIP\General\Reproductive Coercion White Paper\MSA RC Paper Assets\MSA RC Paper Assets\Harms Model Diagrams\JPG\MSAU0008-RC-Harms-Model_F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 &amp; Comms\Artwork WIP\General\Reproductive Coercion White Paper\MSA RC Paper Assets\MSA RC Paper Assets\Harms Model Diagrams\JPG\MSAU0008-RC-Harms-Model_FA-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926" b="20907"/>
                    <a:stretch/>
                  </pic:blipFill>
                  <pic:spPr bwMode="auto">
                    <a:xfrm>
                      <a:off x="0" y="0"/>
                      <a:ext cx="5731510" cy="4096040"/>
                    </a:xfrm>
                    <a:prstGeom prst="rect">
                      <a:avLst/>
                    </a:prstGeom>
                    <a:noFill/>
                    <a:ln>
                      <a:noFill/>
                    </a:ln>
                    <a:extLst>
                      <a:ext uri="{53640926-AAD7-44D8-BBD7-CCE9431645EC}">
                        <a14:shadowObscured xmlns:a14="http://schemas.microsoft.com/office/drawing/2010/main"/>
                      </a:ext>
                    </a:extLst>
                  </pic:spPr>
                </pic:pic>
              </a:graphicData>
            </a:graphic>
          </wp:inline>
        </w:drawing>
      </w:r>
    </w:p>
    <w:p w14:paraId="57D1E0C4" w14:textId="5E4BC45B" w:rsidR="00581A5E" w:rsidRPr="00A618BE" w:rsidRDefault="00581A5E" w:rsidP="00D0581F">
      <w:pPr>
        <w:pStyle w:val="Heading2"/>
      </w:pPr>
      <w:bookmarkStart w:id="105" w:name="_Toc530573355"/>
      <w:bookmarkStart w:id="106" w:name="_Toc57368601"/>
      <w:r w:rsidRPr="00A618BE">
        <w:t xml:space="preserve">Contextualising </w:t>
      </w:r>
      <w:r w:rsidR="000C4368">
        <w:t>r</w:t>
      </w:r>
      <w:r w:rsidR="000C4368" w:rsidRPr="00A618BE">
        <w:t xml:space="preserve">eproductive </w:t>
      </w:r>
      <w:r w:rsidR="000C4368">
        <w:t>c</w:t>
      </w:r>
      <w:r w:rsidR="000C4368" w:rsidRPr="00A618BE">
        <w:t>oercion</w:t>
      </w:r>
      <w:bookmarkEnd w:id="105"/>
      <w:bookmarkEnd w:id="106"/>
    </w:p>
    <w:p w14:paraId="29A8A435" w14:textId="6C529111" w:rsidR="00581A5E" w:rsidRPr="00BE4A29" w:rsidRDefault="000C4368" w:rsidP="00D0581F">
      <w:pPr>
        <w:rPr>
          <w:b/>
          <w:szCs w:val="28"/>
        </w:rPr>
      </w:pPr>
      <w:bookmarkStart w:id="107" w:name="_Toc530573356"/>
      <w:r w:rsidRPr="00BE4A29">
        <w:rPr>
          <w:b/>
          <w:szCs w:val="28"/>
        </w:rPr>
        <w:t>Reproductive coercion</w:t>
      </w:r>
      <w:r w:rsidR="00581A5E" w:rsidRPr="00BE4A29">
        <w:rPr>
          <w:b/>
          <w:szCs w:val="28"/>
        </w:rPr>
        <w:t>, IPV and SV</w:t>
      </w:r>
      <w:bookmarkEnd w:id="107"/>
    </w:p>
    <w:p w14:paraId="45B05966" w14:textId="14AB90D5" w:rsidR="00581A5E" w:rsidRPr="00A618BE" w:rsidRDefault="00581A5E" w:rsidP="00D0581F">
      <w:r w:rsidRPr="00A618BE">
        <w:t xml:space="preserve">While </w:t>
      </w:r>
      <w:r w:rsidR="000C4368">
        <w:t>r</w:t>
      </w:r>
      <w:r w:rsidR="000C4368" w:rsidRPr="00A618BE">
        <w:t xml:space="preserve">eproductive </w:t>
      </w:r>
      <w:r w:rsidR="000C4368">
        <w:t>c</w:t>
      </w:r>
      <w:r w:rsidR="000C4368" w:rsidRPr="00A618BE">
        <w:t>oercion</w:t>
      </w:r>
      <w:r w:rsidR="000C4368">
        <w:t xml:space="preserve"> </w:t>
      </w:r>
      <w:r w:rsidRPr="00A618BE">
        <w:t xml:space="preserve">intersects with FV, IPV and SV, it is important that </w:t>
      </w:r>
      <w:r w:rsidR="000C4368">
        <w:t>r</w:t>
      </w:r>
      <w:r w:rsidR="000C4368" w:rsidRPr="00A618BE">
        <w:t xml:space="preserve">eproductive </w:t>
      </w:r>
      <w:r w:rsidR="000C4368">
        <w:t>c</w:t>
      </w:r>
      <w:r w:rsidR="000C4368" w:rsidRPr="00A618BE">
        <w:t>oercion</w:t>
      </w:r>
      <w:r w:rsidR="000C4368">
        <w:t xml:space="preserve"> </w:t>
      </w:r>
      <w:r w:rsidRPr="00A618BE">
        <w:t xml:space="preserve">is </w:t>
      </w:r>
      <w:proofErr w:type="gramStart"/>
      <w:r w:rsidRPr="00A618BE">
        <w:t>understood in its own right</w:t>
      </w:r>
      <w:proofErr w:type="gramEnd"/>
      <w:r w:rsidRPr="00A618BE">
        <w:t xml:space="preserve">. Three people who told their personal stories as part of the consultation process chose not </w:t>
      </w:r>
      <w:r>
        <w:t xml:space="preserve">to </w:t>
      </w:r>
      <w:r w:rsidRPr="00A618BE">
        <w:t xml:space="preserve">classify what happened to them in the context of FV, IPV and SV. This reluctance to contextualise </w:t>
      </w:r>
      <w:r w:rsidR="00976009">
        <w:t>r</w:t>
      </w:r>
      <w:r w:rsidR="00976009" w:rsidRPr="00A618BE">
        <w:t xml:space="preserve">eproductive </w:t>
      </w:r>
      <w:r w:rsidR="00976009">
        <w:t>c</w:t>
      </w:r>
      <w:r w:rsidR="00976009" w:rsidRPr="00A618BE">
        <w:t>oercion</w:t>
      </w:r>
      <w:r w:rsidR="00976009">
        <w:t xml:space="preserve"> </w:t>
      </w:r>
      <w:r w:rsidRPr="00A618BE">
        <w:t>within other forms of interpersonal violence may be due to a range of reasons, including:</w:t>
      </w:r>
    </w:p>
    <w:p w14:paraId="19627739" w14:textId="3C022415" w:rsidR="00581A5E" w:rsidRPr="00A618BE" w:rsidRDefault="004C6B33" w:rsidP="00D0581F">
      <w:pPr>
        <w:pStyle w:val="ListParagraph"/>
        <w:numPr>
          <w:ilvl w:val="0"/>
          <w:numId w:val="14"/>
        </w:numPr>
        <w:spacing w:before="240" w:after="240"/>
      </w:pPr>
      <w:r>
        <w:t>c</w:t>
      </w:r>
      <w:r w:rsidR="00581A5E" w:rsidRPr="00A618BE">
        <w:t xml:space="preserve">urrent stigma that surrounds </w:t>
      </w:r>
      <w:r w:rsidR="00976009">
        <w:t>r</w:t>
      </w:r>
      <w:r w:rsidR="00976009" w:rsidRPr="00A618BE">
        <w:t xml:space="preserve">eproductive </w:t>
      </w:r>
      <w:r w:rsidR="00976009">
        <w:t>c</w:t>
      </w:r>
      <w:r w:rsidR="00976009" w:rsidRPr="00A618BE">
        <w:t>oercion</w:t>
      </w:r>
      <w:r w:rsidR="00581A5E" w:rsidRPr="00A618BE">
        <w:t>, IPV and SV</w:t>
      </w:r>
    </w:p>
    <w:p w14:paraId="71847F06" w14:textId="75079474" w:rsidR="00581A5E" w:rsidRPr="00A618BE" w:rsidRDefault="004C6B33" w:rsidP="00D0581F">
      <w:pPr>
        <w:pStyle w:val="ListParagraph"/>
        <w:numPr>
          <w:ilvl w:val="0"/>
          <w:numId w:val="14"/>
        </w:numPr>
        <w:spacing w:before="240" w:after="240"/>
      </w:pPr>
      <w:r>
        <w:t>a</w:t>
      </w:r>
      <w:r w:rsidR="00581A5E" w:rsidRPr="00A618BE">
        <w:t xml:space="preserve"> lack of understanding of </w:t>
      </w:r>
      <w:r w:rsidR="00976009">
        <w:t>r</w:t>
      </w:r>
      <w:r w:rsidR="00976009" w:rsidRPr="00A618BE">
        <w:t xml:space="preserve">eproductive </w:t>
      </w:r>
      <w:r w:rsidR="00976009">
        <w:t>c</w:t>
      </w:r>
      <w:r w:rsidR="00976009" w:rsidRPr="00A618BE">
        <w:t>oercion</w:t>
      </w:r>
      <w:r w:rsidR="00976009">
        <w:t xml:space="preserve"> </w:t>
      </w:r>
      <w:r w:rsidR="00581A5E" w:rsidRPr="00A618BE">
        <w:t xml:space="preserve">that often contributes to </w:t>
      </w:r>
      <w:r w:rsidR="00976009">
        <w:t>r</w:t>
      </w:r>
      <w:r w:rsidR="00976009" w:rsidRPr="00A618BE">
        <w:t xml:space="preserve">eproductive </w:t>
      </w:r>
      <w:r w:rsidR="00976009">
        <w:t>c</w:t>
      </w:r>
      <w:r w:rsidR="00976009" w:rsidRPr="00A618BE">
        <w:t>oercion</w:t>
      </w:r>
      <w:r w:rsidR="00976009">
        <w:t xml:space="preserve"> </w:t>
      </w:r>
      <w:r w:rsidR="00581A5E" w:rsidRPr="00A618BE">
        <w:t xml:space="preserve">being viewed as separate from </w:t>
      </w:r>
      <w:r w:rsidR="00581A5E">
        <w:t>FV</w:t>
      </w:r>
      <w:r w:rsidR="00581A5E" w:rsidRPr="00A618BE">
        <w:t>, IPV and SV response and prevention measures</w:t>
      </w:r>
    </w:p>
    <w:p w14:paraId="030A07AA" w14:textId="5F70C982" w:rsidR="00581A5E" w:rsidRPr="00A618BE" w:rsidRDefault="004C6B33" w:rsidP="00D0581F">
      <w:pPr>
        <w:pStyle w:val="ListParagraph"/>
        <w:numPr>
          <w:ilvl w:val="0"/>
          <w:numId w:val="14"/>
        </w:numPr>
        <w:spacing w:before="240" w:after="240"/>
      </w:pPr>
      <w:r>
        <w:t>t</w:t>
      </w:r>
      <w:r w:rsidR="00581A5E" w:rsidRPr="00A618BE">
        <w:t xml:space="preserve">hat </w:t>
      </w:r>
      <w:r w:rsidR="00976009">
        <w:t>r</w:t>
      </w:r>
      <w:r w:rsidR="00976009" w:rsidRPr="00A618BE">
        <w:t xml:space="preserve">eproductive </w:t>
      </w:r>
      <w:r w:rsidR="00976009">
        <w:t>c</w:t>
      </w:r>
      <w:r w:rsidR="00976009" w:rsidRPr="00A618BE">
        <w:t>oercion</w:t>
      </w:r>
      <w:r w:rsidR="00976009">
        <w:t xml:space="preserve"> </w:t>
      </w:r>
      <w:r w:rsidR="00581A5E" w:rsidRPr="00A618BE">
        <w:t xml:space="preserve">can take place </w:t>
      </w:r>
      <w:r w:rsidR="00581A5E">
        <w:t>without the use</w:t>
      </w:r>
      <w:r w:rsidR="00581A5E" w:rsidRPr="00A618BE">
        <w:t xml:space="preserve"> of physical violence and other behaviours traditionally identified as </w:t>
      </w:r>
      <w:r w:rsidR="00581A5E">
        <w:t>FV</w:t>
      </w:r>
      <w:r w:rsidR="00581A5E" w:rsidRPr="00A618BE">
        <w:t xml:space="preserve">, IPV and SV. </w:t>
      </w:r>
    </w:p>
    <w:p w14:paraId="6D732EF1" w14:textId="77777777" w:rsidR="004C6B33" w:rsidRDefault="004C6B33">
      <w:pPr>
        <w:spacing w:after="160" w:line="259" w:lineRule="auto"/>
      </w:pPr>
      <w:r>
        <w:br w:type="page"/>
      </w:r>
    </w:p>
    <w:p w14:paraId="32D4A940" w14:textId="04EF5A98" w:rsidR="00581A5E" w:rsidRPr="00A618BE" w:rsidRDefault="00581A5E" w:rsidP="00D0581F">
      <w:r w:rsidRPr="00A618BE">
        <w:lastRenderedPageBreak/>
        <w:t xml:space="preserve">Research suggests a direct link between the occurrence of </w:t>
      </w:r>
      <w:r w:rsidR="00976009">
        <w:t>r</w:t>
      </w:r>
      <w:r w:rsidR="00976009" w:rsidRPr="00A618BE">
        <w:t xml:space="preserve">eproductive </w:t>
      </w:r>
      <w:r w:rsidR="00976009">
        <w:t>c</w:t>
      </w:r>
      <w:r w:rsidR="00976009" w:rsidRPr="00A618BE">
        <w:t>oercion</w:t>
      </w:r>
      <w:r w:rsidRPr="00A618BE">
        <w:t>, IPV and</w:t>
      </w:r>
      <w:r>
        <w:t xml:space="preserve"> FV</w:t>
      </w:r>
      <w:r w:rsidRPr="00A618BE">
        <w:t xml:space="preserve">. North American studies indicate that the vast majority of people who experience </w:t>
      </w:r>
      <w:r w:rsidR="00976009">
        <w:t>r</w:t>
      </w:r>
      <w:r w:rsidR="00976009" w:rsidRPr="00A618BE">
        <w:t xml:space="preserve">eproductive </w:t>
      </w:r>
      <w:r w:rsidR="00976009">
        <w:t>c</w:t>
      </w:r>
      <w:r w:rsidR="00976009" w:rsidRPr="00A618BE">
        <w:t>oercion</w:t>
      </w:r>
      <w:r w:rsidR="00976009">
        <w:t xml:space="preserve"> </w:t>
      </w:r>
      <w:r w:rsidRPr="00A618BE">
        <w:t xml:space="preserve">are women who also experience high rates of </w:t>
      </w:r>
      <w:r>
        <w:t xml:space="preserve">FV and </w:t>
      </w:r>
      <w:r w:rsidRPr="00A618BE">
        <w:t>IPV</w:t>
      </w:r>
      <w:r>
        <w:t>.</w:t>
      </w:r>
      <w:r w:rsidRPr="00A618BE">
        <w:rPr>
          <w:rStyle w:val="EndnoteReference"/>
        </w:rPr>
        <w:endnoteReference w:id="27"/>
      </w:r>
      <w:r w:rsidRPr="00A618BE">
        <w:t xml:space="preserve"> One study shows the rates of IPV and </w:t>
      </w:r>
      <w:r>
        <w:t>FV at</w:t>
      </w:r>
      <w:r w:rsidRPr="00A618BE">
        <w:t xml:space="preserve"> twice the national average when </w:t>
      </w:r>
      <w:r w:rsidR="00976009">
        <w:t>r</w:t>
      </w:r>
      <w:r w:rsidR="00976009" w:rsidRPr="00A618BE">
        <w:t xml:space="preserve">eproductive </w:t>
      </w:r>
      <w:r w:rsidR="00976009">
        <w:t>c</w:t>
      </w:r>
      <w:r w:rsidR="00976009" w:rsidRPr="00A618BE">
        <w:t>oercion</w:t>
      </w:r>
      <w:r w:rsidR="00976009">
        <w:t xml:space="preserve"> </w:t>
      </w:r>
      <w:r w:rsidRPr="00A618BE">
        <w:t>is considered</w:t>
      </w:r>
      <w:r>
        <w:t>.</w:t>
      </w:r>
      <w:r w:rsidRPr="00A618BE">
        <w:rPr>
          <w:rStyle w:val="EndnoteReference"/>
        </w:rPr>
        <w:endnoteReference w:id="28"/>
      </w:r>
    </w:p>
    <w:p w14:paraId="236DC157" w14:textId="796EE90C" w:rsidR="00581A5E" w:rsidRPr="00A618BE" w:rsidRDefault="00581A5E" w:rsidP="00D0581F">
      <w:r w:rsidRPr="00A618BE">
        <w:t xml:space="preserve">As a number of submissions stated, </w:t>
      </w:r>
      <w:r w:rsidR="00976009">
        <w:t>r</w:t>
      </w:r>
      <w:r w:rsidR="00976009" w:rsidRPr="00A618BE">
        <w:t xml:space="preserve">eproductive </w:t>
      </w:r>
      <w:r w:rsidR="00976009">
        <w:t>c</w:t>
      </w:r>
      <w:r w:rsidR="00976009" w:rsidRPr="00A618BE">
        <w:t>oercion</w:t>
      </w:r>
      <w:r w:rsidR="00976009">
        <w:t xml:space="preserve"> </w:t>
      </w:r>
      <w:r w:rsidRPr="00A618BE">
        <w:t xml:space="preserve">can and often does appear within the context of </w:t>
      </w:r>
      <w:r>
        <w:t>IP</w:t>
      </w:r>
      <w:r w:rsidRPr="00A618BE">
        <w:t>V.</w:t>
      </w:r>
      <w:r w:rsidRPr="00A618BE">
        <w:rPr>
          <w:rStyle w:val="EndnoteReference"/>
        </w:rPr>
        <w:endnoteReference w:id="29"/>
      </w:r>
      <w:r w:rsidRPr="00A618BE">
        <w:t xml:space="preserve"> We also know that where a pregnancy is unintended, a woman is four times more likely to experience violence from her partner</w:t>
      </w:r>
      <w:r>
        <w:t>.</w:t>
      </w:r>
      <w:r w:rsidRPr="00A618BE">
        <w:rPr>
          <w:rStyle w:val="EndnoteReference"/>
        </w:rPr>
        <w:endnoteReference w:id="30"/>
      </w:r>
      <w:r w:rsidRPr="00A618BE">
        <w:t xml:space="preserve"> On the basis of research and submissions to the current </w:t>
      </w:r>
      <w:r w:rsidR="00B56730">
        <w:t>w</w:t>
      </w:r>
      <w:r w:rsidRPr="00A618BE">
        <w:t xml:space="preserve">hite </w:t>
      </w:r>
      <w:r w:rsidR="00B56730">
        <w:t>p</w:t>
      </w:r>
      <w:r w:rsidRPr="00A618BE">
        <w:t xml:space="preserve">aper process, it may be suggested that there is a direct link between </w:t>
      </w:r>
      <w:r w:rsidR="00976009">
        <w:t>r</w:t>
      </w:r>
      <w:r w:rsidR="00976009" w:rsidRPr="00A618BE">
        <w:t xml:space="preserve">eproductive </w:t>
      </w:r>
      <w:r w:rsidR="00976009">
        <w:t>c</w:t>
      </w:r>
      <w:r w:rsidR="00976009" w:rsidRPr="00A618BE">
        <w:t>oercion</w:t>
      </w:r>
      <w:r w:rsidR="00976009">
        <w:t xml:space="preserve"> </w:t>
      </w:r>
      <w:r w:rsidRPr="00A618BE">
        <w:t xml:space="preserve">and pregnancy, particularly unintended pregnancy, and IPV. </w:t>
      </w:r>
    </w:p>
    <w:p w14:paraId="449EDCDB" w14:textId="346E4145" w:rsidR="00581A5E" w:rsidRPr="00A618BE" w:rsidRDefault="00581A5E" w:rsidP="00D0581F">
      <w:r w:rsidRPr="00A618BE">
        <w:t xml:space="preserve">It is at the point where a person discloses </w:t>
      </w:r>
      <w:r w:rsidR="00976009">
        <w:t>r</w:t>
      </w:r>
      <w:r w:rsidR="00976009" w:rsidRPr="00A618BE">
        <w:t xml:space="preserve">eproductive </w:t>
      </w:r>
      <w:r w:rsidR="00976009">
        <w:t>c</w:t>
      </w:r>
      <w:r w:rsidR="00976009" w:rsidRPr="00A618BE">
        <w:t>oercion</w:t>
      </w:r>
      <w:r w:rsidR="00976009">
        <w:t xml:space="preserve"> </w:t>
      </w:r>
      <w:r w:rsidRPr="00A618BE">
        <w:t xml:space="preserve">that organisations and healthcare providers, particularly those working in maternity services and abortion care services can play a critical role in identifying and assisting the person experiencing </w:t>
      </w:r>
      <w:r w:rsidR="00976009">
        <w:t>r</w:t>
      </w:r>
      <w:r w:rsidR="00976009" w:rsidRPr="00A618BE">
        <w:t xml:space="preserve">eproductive </w:t>
      </w:r>
      <w:r w:rsidR="00976009">
        <w:t>c</w:t>
      </w:r>
      <w:r w:rsidR="00976009" w:rsidRPr="00A618BE">
        <w:t>oercion</w:t>
      </w:r>
      <w:r w:rsidRPr="00A618BE">
        <w:t xml:space="preserve">. </w:t>
      </w:r>
    </w:p>
    <w:p w14:paraId="1D8B8485" w14:textId="0FDE3561" w:rsidR="00581A5E" w:rsidRDefault="00215A5D" w:rsidP="00D0581F">
      <w:r>
        <w:rPr>
          <w:noProof/>
          <w:lang w:eastAsia="en-AU"/>
        </w:rPr>
        <mc:AlternateContent>
          <mc:Choice Requires="wps">
            <w:drawing>
              <wp:anchor distT="45720" distB="45720" distL="114300" distR="114300" simplePos="0" relativeHeight="251681792" behindDoc="0" locked="0" layoutInCell="1" allowOverlap="1" wp14:anchorId="012C3022" wp14:editId="45BD61A6">
                <wp:simplePos x="0" y="0"/>
                <wp:positionH relativeFrom="margin">
                  <wp:align>right</wp:align>
                </wp:positionH>
                <wp:positionV relativeFrom="paragraph">
                  <wp:posOffset>2072005</wp:posOffset>
                </wp:positionV>
                <wp:extent cx="571500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9BAF91"/>
                        </a:solidFill>
                        <a:ln w="9525">
                          <a:noFill/>
                          <a:miter lim="800000"/>
                          <a:headEnd/>
                          <a:tailEnd/>
                        </a:ln>
                      </wps:spPr>
                      <wps:txbx>
                        <w:txbxContent>
                          <w:p w14:paraId="6230E052" w14:textId="2ECF30F9" w:rsidR="00D76477" w:rsidRPr="00215A5D" w:rsidRDefault="00D76477">
                            <w:pPr>
                              <w:rPr>
                                <w:b/>
                                <w:bCs/>
                              </w:rPr>
                            </w:pPr>
                            <w:r w:rsidRPr="00215A5D">
                              <w:rPr>
                                <w:b/>
                                <w:bCs/>
                              </w:rPr>
                              <w:t xml:space="preserve">“I did not feel in </w:t>
                            </w:r>
                            <w:proofErr w:type="gramStart"/>
                            <w:r w:rsidRPr="00215A5D">
                              <w:rPr>
                                <w:b/>
                                <w:bCs/>
                              </w:rPr>
                              <w:t>control</w:t>
                            </w:r>
                            <w:proofErr w:type="gramEnd"/>
                            <w:r w:rsidRPr="00215A5D">
                              <w:rPr>
                                <w:b/>
                                <w:bCs/>
                              </w:rPr>
                              <w:t xml:space="preserve"> but I would not say he assaulted me. He wasn’t violent.”</w:t>
                            </w:r>
                          </w:p>
                          <w:p w14:paraId="02DBE374" w14:textId="5FE65530" w:rsidR="00D76477" w:rsidRPr="00215A5D" w:rsidRDefault="00D76477">
                            <w:pPr>
                              <w:rPr>
                                <w:b/>
                                <w:bCs/>
                              </w:rPr>
                            </w:pPr>
                            <w:r w:rsidRPr="00215A5D">
                              <w:rPr>
                                <w:b/>
                                <w:bCs/>
                              </w:rPr>
                              <w:t>Melanie*, NSW</w:t>
                            </w:r>
                          </w:p>
                          <w:p w14:paraId="225F03BB" w14:textId="6AD2093A" w:rsidR="00D76477" w:rsidRPr="00215A5D" w:rsidRDefault="00D76477">
                            <w:pPr>
                              <w:rPr>
                                <w:b/>
                                <w:bCs/>
                              </w:rPr>
                            </w:pPr>
                            <w:r w:rsidRPr="00215A5D">
                              <w:rPr>
                                <w:b/>
                                <w:bCs/>
                              </w:rPr>
                              <w:t>*Name has been changed for their privacy.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C3022" id="_x0000_s1028" type="#_x0000_t202" style="position:absolute;margin-left:398.8pt;margin-top:163.15pt;width:450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" fillcolor="#9baf91" stroked="f">
                <v:textbox style="mso-fit-shape-to-text:t">
                  <w:txbxContent>
                    <w:p w14:paraId="6230E052" w14:textId="2ECF30F9" w:rsidR="00D76477" w:rsidRPr="00215A5D" w:rsidRDefault="00D76477">
                      <w:pPr>
                        <w:rPr>
                          <w:b/>
                          <w:bCs/>
                        </w:rPr>
                      </w:pPr>
                      <w:r w:rsidRPr="00215A5D">
                        <w:rPr>
                          <w:b/>
                          <w:bCs/>
                        </w:rPr>
                        <w:t xml:space="preserve">“I did not feel in </w:t>
                      </w:r>
                      <w:proofErr w:type="gramStart"/>
                      <w:r w:rsidRPr="00215A5D">
                        <w:rPr>
                          <w:b/>
                          <w:bCs/>
                        </w:rPr>
                        <w:t>control</w:t>
                      </w:r>
                      <w:proofErr w:type="gramEnd"/>
                      <w:r w:rsidRPr="00215A5D">
                        <w:rPr>
                          <w:b/>
                          <w:bCs/>
                        </w:rPr>
                        <w:t xml:space="preserve"> but I would not say he assaulted me. He wasn’t violent.”</w:t>
                      </w:r>
                    </w:p>
                    <w:p w14:paraId="02DBE374" w14:textId="5FE65530" w:rsidR="00D76477" w:rsidRPr="00215A5D" w:rsidRDefault="00D76477">
                      <w:pPr>
                        <w:rPr>
                          <w:b/>
                          <w:bCs/>
                        </w:rPr>
                      </w:pPr>
                      <w:r w:rsidRPr="00215A5D">
                        <w:rPr>
                          <w:b/>
                          <w:bCs/>
                        </w:rPr>
                        <w:t>Melanie*, NSW</w:t>
                      </w:r>
                    </w:p>
                    <w:p w14:paraId="225F03BB" w14:textId="6AD2093A" w:rsidR="00D76477" w:rsidRPr="00215A5D" w:rsidRDefault="00D76477">
                      <w:pPr>
                        <w:rPr>
                          <w:b/>
                          <w:bCs/>
                        </w:rPr>
                      </w:pPr>
                      <w:r w:rsidRPr="00215A5D">
                        <w:rPr>
                          <w:b/>
                          <w:bCs/>
                        </w:rPr>
                        <w:t>*Name has been changed for their privacy.</w:t>
                      </w:r>
                    </w:p>
                  </w:txbxContent>
                </v:textbox>
                <w10:wrap type="square" anchorx="margin"/>
              </v:shape>
            </w:pict>
          </mc:Fallback>
        </mc:AlternateContent>
      </w:r>
      <w:r w:rsidR="00581A5E" w:rsidRPr="00A618BE">
        <w:t xml:space="preserve">Marie Stopes Australia accepts and agrees with recommendations from both the research literature and submissions to this </w:t>
      </w:r>
      <w:r w:rsidR="00B56730">
        <w:t>w</w:t>
      </w:r>
      <w:r w:rsidR="00581A5E" w:rsidRPr="00A618BE">
        <w:t xml:space="preserve">hite </w:t>
      </w:r>
      <w:r w:rsidR="00B56730">
        <w:t>p</w:t>
      </w:r>
      <w:r w:rsidR="00581A5E" w:rsidRPr="00A618BE">
        <w:t xml:space="preserve">aper that </w:t>
      </w:r>
      <w:r w:rsidR="00976009">
        <w:t>r</w:t>
      </w:r>
      <w:r w:rsidR="00976009" w:rsidRPr="00A618BE">
        <w:t xml:space="preserve">eproductive </w:t>
      </w:r>
      <w:r w:rsidR="00976009">
        <w:t>c</w:t>
      </w:r>
      <w:r w:rsidR="00976009" w:rsidRPr="00A618BE">
        <w:t>oercion</w:t>
      </w:r>
      <w:r w:rsidR="00976009">
        <w:t xml:space="preserve"> </w:t>
      </w:r>
      <w:r w:rsidR="00581A5E" w:rsidRPr="00A618BE">
        <w:t xml:space="preserve">be examined within the context of </w:t>
      </w:r>
      <w:r w:rsidR="00581A5E">
        <w:t>FV</w:t>
      </w:r>
      <w:r w:rsidR="00581A5E" w:rsidRPr="00A618BE">
        <w:t>, IPV</w:t>
      </w:r>
      <w:r w:rsidR="00581A5E">
        <w:t xml:space="preserve"> and</w:t>
      </w:r>
      <w:r w:rsidR="00581A5E" w:rsidRPr="00A618BE">
        <w:t xml:space="preserve"> SV </w:t>
      </w:r>
      <w:r w:rsidR="00581A5E">
        <w:t>(including IPSV)</w:t>
      </w:r>
      <w:r w:rsidR="00581A5E" w:rsidRPr="00A618BE">
        <w:t>. Contextualising</w:t>
      </w:r>
      <w:r w:rsidR="00564FD1">
        <w:t xml:space="preserve"> r</w:t>
      </w:r>
      <w:r w:rsidR="00976009" w:rsidRPr="00A618BE">
        <w:t xml:space="preserve">eproductive </w:t>
      </w:r>
      <w:r w:rsidR="00976009">
        <w:t>c</w:t>
      </w:r>
      <w:r w:rsidR="00976009" w:rsidRPr="00A618BE">
        <w:t>oercion</w:t>
      </w:r>
      <w:r w:rsidR="00976009">
        <w:t xml:space="preserve"> </w:t>
      </w:r>
      <w:r w:rsidR="00581A5E" w:rsidRPr="00A618BE">
        <w:t xml:space="preserve">in this way may assist with overcoming the tendency towards conceptual siloes in research agendas, service provision and other </w:t>
      </w:r>
      <w:r w:rsidR="00976009">
        <w:t>r</w:t>
      </w:r>
      <w:r w:rsidR="00976009" w:rsidRPr="00A618BE">
        <w:t xml:space="preserve">eproductive </w:t>
      </w:r>
      <w:r w:rsidR="00976009">
        <w:t>c</w:t>
      </w:r>
      <w:r w:rsidR="00976009" w:rsidRPr="00A618BE">
        <w:t>oercion</w:t>
      </w:r>
      <w:r w:rsidR="00976009">
        <w:t xml:space="preserve"> </w:t>
      </w:r>
      <w:r w:rsidR="00581A5E" w:rsidRPr="00A618BE">
        <w:t xml:space="preserve">responses. It is also important that the lived experience of individuals experiencing </w:t>
      </w:r>
      <w:r w:rsidR="00976009">
        <w:t>r</w:t>
      </w:r>
      <w:r w:rsidR="00976009" w:rsidRPr="00A618BE">
        <w:t xml:space="preserve">eproductive </w:t>
      </w:r>
      <w:r w:rsidR="00976009">
        <w:t>c</w:t>
      </w:r>
      <w:r w:rsidR="00976009" w:rsidRPr="00A618BE">
        <w:t>oercion</w:t>
      </w:r>
      <w:r w:rsidR="00976009">
        <w:t xml:space="preserve"> </w:t>
      </w:r>
      <w:r w:rsidR="00581A5E" w:rsidRPr="00A618BE">
        <w:t xml:space="preserve">informs the examination of </w:t>
      </w:r>
      <w:r w:rsidR="00976009">
        <w:t>r</w:t>
      </w:r>
      <w:r w:rsidR="00976009" w:rsidRPr="00A618BE">
        <w:t xml:space="preserve">eproductive </w:t>
      </w:r>
      <w:r w:rsidR="00976009">
        <w:t>c</w:t>
      </w:r>
      <w:r w:rsidR="00976009" w:rsidRPr="00A618BE">
        <w:t>oercion</w:t>
      </w:r>
      <w:r w:rsidR="00976009">
        <w:t xml:space="preserve"> </w:t>
      </w:r>
      <w:r w:rsidR="00581A5E" w:rsidRPr="00A618BE">
        <w:t>so that the research and service response recommendations reflect this experiential knowledge and are respectful of individual experiences.</w:t>
      </w:r>
    </w:p>
    <w:p w14:paraId="4E490425" w14:textId="25FA56BC" w:rsidR="00215A5D" w:rsidRPr="00A618BE" w:rsidRDefault="00215A5D" w:rsidP="00D0581F"/>
    <w:p w14:paraId="43702A03" w14:textId="226A01D5" w:rsidR="00581A5E" w:rsidRPr="00A618BE" w:rsidRDefault="00581A5E" w:rsidP="00D0581F">
      <w:r w:rsidRPr="00A618BE">
        <w:t xml:space="preserve">For these reasons, it is important that we respectfully, </w:t>
      </w:r>
      <w:proofErr w:type="gramStart"/>
      <w:r w:rsidRPr="00A618BE">
        <w:t>safely</w:t>
      </w:r>
      <w:proofErr w:type="gramEnd"/>
      <w:r w:rsidRPr="00A618BE">
        <w:t xml:space="preserve"> and appropriately qualitatively analyse the multifaceted nature of lived experiences of </w:t>
      </w:r>
      <w:r w:rsidR="00976009">
        <w:t>r</w:t>
      </w:r>
      <w:r w:rsidR="00976009" w:rsidRPr="00A618BE">
        <w:t xml:space="preserve">eproductive </w:t>
      </w:r>
      <w:r w:rsidR="00976009">
        <w:t>c</w:t>
      </w:r>
      <w:r w:rsidR="00976009" w:rsidRPr="00A618BE">
        <w:t>oercion</w:t>
      </w:r>
      <w:r w:rsidRPr="00A618BE">
        <w:t xml:space="preserve">. This will provide an acceptable, evidence-based approach to preventing and responding to </w:t>
      </w:r>
      <w:r w:rsidR="00976009">
        <w:t>r</w:t>
      </w:r>
      <w:r w:rsidR="00976009" w:rsidRPr="00A618BE">
        <w:t xml:space="preserve">eproductive </w:t>
      </w:r>
      <w:r w:rsidR="00976009">
        <w:t>c</w:t>
      </w:r>
      <w:r w:rsidR="00976009" w:rsidRPr="00A618BE">
        <w:t>oercion</w:t>
      </w:r>
      <w:r w:rsidRPr="00A618BE">
        <w:t xml:space="preserve">. </w:t>
      </w:r>
    </w:p>
    <w:p w14:paraId="3A0DDDDB" w14:textId="77777777" w:rsidR="00121B6F" w:rsidRDefault="00121B6F">
      <w:pPr>
        <w:spacing w:after="160" w:line="259" w:lineRule="auto"/>
      </w:pPr>
      <w:r>
        <w:br w:type="page"/>
      </w:r>
    </w:p>
    <w:p w14:paraId="41088A49" w14:textId="7D54D21F" w:rsidR="00581A5E" w:rsidRPr="00A618BE" w:rsidRDefault="00581A5E" w:rsidP="00D0581F">
      <w:r w:rsidRPr="00A618BE">
        <w:lastRenderedPageBreak/>
        <w:t xml:space="preserve">At least two submissions to this </w:t>
      </w:r>
      <w:r w:rsidR="00B56730">
        <w:t>w</w:t>
      </w:r>
      <w:r w:rsidRPr="00A618BE">
        <w:t xml:space="preserve">hite </w:t>
      </w:r>
      <w:r w:rsidR="00B56730">
        <w:t>p</w:t>
      </w:r>
      <w:r w:rsidRPr="00A618BE">
        <w:t>aper</w:t>
      </w:r>
      <w:r w:rsidRPr="00A618BE">
        <w:rPr>
          <w:rStyle w:val="EndnoteReference"/>
        </w:rPr>
        <w:endnoteReference w:id="31"/>
      </w:r>
      <w:r w:rsidRPr="00A618BE">
        <w:t xml:space="preserve"> highlighted planned research in this area. Marie Stopes Australia is undertaking research </w:t>
      </w:r>
      <w:r>
        <w:t>in partnership with</w:t>
      </w:r>
      <w:r w:rsidRPr="00A618BE">
        <w:t xml:space="preserve"> the Australian National University </w:t>
      </w:r>
      <w:r w:rsidR="00121B6F">
        <w:t xml:space="preserve">(ANU) </w:t>
      </w:r>
      <w:r w:rsidR="00A4111F">
        <w:t>titled ‘</w:t>
      </w:r>
      <w:r w:rsidR="00976009">
        <w:t>Personalising</w:t>
      </w:r>
      <w:r w:rsidRPr="00A618BE">
        <w:t xml:space="preserve"> Abortion </w:t>
      </w:r>
      <w:r>
        <w:t>Care</w:t>
      </w:r>
      <w:r w:rsidR="00A4111F">
        <w:t>’</w:t>
      </w:r>
      <w:r w:rsidRPr="00A618BE">
        <w:t xml:space="preserve"> that will also capture the lived experiences of </w:t>
      </w:r>
      <w:r w:rsidR="00976009">
        <w:t>r</w:t>
      </w:r>
      <w:r w:rsidR="00976009" w:rsidRPr="00A618BE">
        <w:t xml:space="preserve">eproductive </w:t>
      </w:r>
      <w:r w:rsidR="00976009">
        <w:t>c</w:t>
      </w:r>
      <w:r w:rsidR="00976009" w:rsidRPr="00A618BE">
        <w:t>oercion</w:t>
      </w:r>
      <w:r w:rsidR="00976009">
        <w:t xml:space="preserve"> </w:t>
      </w:r>
      <w:r w:rsidRPr="00A618BE">
        <w:t xml:space="preserve">among research participants. By sharing knowledge generated through these aligned qualitative research projects, we can build a richer picture of the varied lived experiences of </w:t>
      </w:r>
      <w:r w:rsidR="00976009">
        <w:t>r</w:t>
      </w:r>
      <w:r w:rsidR="00976009" w:rsidRPr="00A618BE">
        <w:t xml:space="preserve">eproductive </w:t>
      </w:r>
      <w:r w:rsidR="00976009">
        <w:t>c</w:t>
      </w:r>
      <w:r w:rsidR="00976009" w:rsidRPr="00A618BE">
        <w:t>oercion</w:t>
      </w:r>
      <w:r w:rsidR="00976009">
        <w:t xml:space="preserve"> </w:t>
      </w:r>
      <w:r w:rsidRPr="00A618BE">
        <w:t xml:space="preserve">that have the potential to inform nuanced and appropriate prevention and response interventions. </w:t>
      </w:r>
    </w:p>
    <w:p w14:paraId="7FADDA26" w14:textId="0F45961F" w:rsidR="00581A5E" w:rsidRPr="00BE4A29" w:rsidRDefault="00581A5E" w:rsidP="00D0581F">
      <w:pPr>
        <w:rPr>
          <w:b/>
        </w:rPr>
      </w:pPr>
      <w:bookmarkStart w:id="108" w:name="_Toc530573357"/>
      <w:r w:rsidRPr="00BE4A29">
        <w:rPr>
          <w:b/>
        </w:rPr>
        <w:t>S</w:t>
      </w:r>
      <w:r w:rsidR="00976009">
        <w:rPr>
          <w:b/>
        </w:rPr>
        <w:t>exual violence</w:t>
      </w:r>
      <w:r w:rsidRPr="00BE4A29">
        <w:rPr>
          <w:b/>
        </w:rPr>
        <w:t xml:space="preserve"> and </w:t>
      </w:r>
      <w:r w:rsidR="00976009">
        <w:rPr>
          <w:b/>
        </w:rPr>
        <w:t>a</w:t>
      </w:r>
      <w:r w:rsidRPr="00BE4A29">
        <w:rPr>
          <w:b/>
        </w:rPr>
        <w:t>ssault</w:t>
      </w:r>
      <w:bookmarkEnd w:id="108"/>
    </w:p>
    <w:p w14:paraId="4B96D685" w14:textId="4BBE620B" w:rsidR="00581A5E" w:rsidRPr="00A618BE" w:rsidRDefault="00581A5E" w:rsidP="00D0581F">
      <w:r w:rsidRPr="00A618BE">
        <w:t xml:space="preserve">While most of the submissions to </w:t>
      </w:r>
      <w:r w:rsidR="00976009" w:rsidRPr="00121B6F">
        <w:rPr>
          <w:i/>
          <w:iCs/>
        </w:rPr>
        <w:t>Hidden Forces</w:t>
      </w:r>
      <w:r w:rsidRPr="00A618BE">
        <w:t xml:space="preserve"> have detailed the intersection of </w:t>
      </w:r>
      <w:r w:rsidR="00976009">
        <w:t>r</w:t>
      </w:r>
      <w:r w:rsidR="00976009" w:rsidRPr="00A618BE">
        <w:t xml:space="preserve">eproductive </w:t>
      </w:r>
      <w:r w:rsidR="00976009">
        <w:t>c</w:t>
      </w:r>
      <w:r w:rsidR="00976009" w:rsidRPr="00A618BE">
        <w:t>oercion</w:t>
      </w:r>
      <w:r w:rsidR="00976009">
        <w:t xml:space="preserve"> </w:t>
      </w:r>
      <w:r w:rsidRPr="00A618BE">
        <w:t xml:space="preserve">with </w:t>
      </w:r>
      <w:r>
        <w:t>FV</w:t>
      </w:r>
      <w:r w:rsidRPr="00A618BE">
        <w:t xml:space="preserve"> and IPV, there was less discussion of </w:t>
      </w:r>
      <w:r w:rsidR="00976009">
        <w:t>r</w:t>
      </w:r>
      <w:r w:rsidR="00976009" w:rsidRPr="00A618BE">
        <w:t xml:space="preserve">eproductive </w:t>
      </w:r>
      <w:r w:rsidR="00976009">
        <w:t>c</w:t>
      </w:r>
      <w:r w:rsidR="00976009" w:rsidRPr="00A618BE">
        <w:t>oercion</w:t>
      </w:r>
      <w:r w:rsidR="00976009">
        <w:t xml:space="preserve"> </w:t>
      </w:r>
      <w:r w:rsidRPr="00A618BE">
        <w:t>as a form of SV or sexual assault. The Centre Against Sexual Assault (CASA) House in Melbourne defines sexual assault as:</w:t>
      </w:r>
    </w:p>
    <w:p w14:paraId="74B089C0" w14:textId="4CB4DF36" w:rsidR="00581A5E" w:rsidRPr="00A618BE" w:rsidRDefault="00976009" w:rsidP="00D0581F">
      <w:r>
        <w:t>“</w:t>
      </w:r>
      <w:r w:rsidR="00581A5E" w:rsidRPr="00A618BE">
        <w:t>...any sexual behaviour that makes a person feel uncomfortable, frightened or threatened. It is sexual activity to which a person does not consent. The use of emotional or physical violence to force another person to engage in sexual activity also constitutes sexual assault. Sexual assault can take various forms, some of which are criminal offences:</w:t>
      </w:r>
    </w:p>
    <w:p w14:paraId="33A177FF" w14:textId="77777777" w:rsidR="00581A5E" w:rsidRPr="00A618BE" w:rsidRDefault="00581A5E" w:rsidP="00D0581F">
      <w:pPr>
        <w:pStyle w:val="ListParagraph"/>
        <w:numPr>
          <w:ilvl w:val="0"/>
          <w:numId w:val="16"/>
        </w:numPr>
        <w:spacing w:before="240" w:after="240"/>
      </w:pPr>
      <w:r w:rsidRPr="00A618BE">
        <w:t>touching, fondling, kissing</w:t>
      </w:r>
    </w:p>
    <w:p w14:paraId="5485452E" w14:textId="77777777" w:rsidR="00581A5E" w:rsidRPr="00A618BE" w:rsidRDefault="00581A5E" w:rsidP="00D0581F">
      <w:pPr>
        <w:pStyle w:val="ListParagraph"/>
        <w:numPr>
          <w:ilvl w:val="0"/>
          <w:numId w:val="16"/>
        </w:numPr>
        <w:spacing w:before="240" w:after="240"/>
      </w:pPr>
      <w:r w:rsidRPr="00A618BE">
        <w:t>being made to look at, or pose for, pornographic photos</w:t>
      </w:r>
    </w:p>
    <w:p w14:paraId="17BBE3DC" w14:textId="77777777" w:rsidR="00581A5E" w:rsidRPr="00A618BE" w:rsidRDefault="00581A5E" w:rsidP="00D0581F">
      <w:pPr>
        <w:pStyle w:val="ListParagraph"/>
        <w:numPr>
          <w:ilvl w:val="0"/>
          <w:numId w:val="16"/>
        </w:numPr>
        <w:spacing w:before="240" w:after="240"/>
      </w:pPr>
      <w:r w:rsidRPr="00A618BE">
        <w:t>voyeurism</w:t>
      </w:r>
    </w:p>
    <w:p w14:paraId="1E2122D9" w14:textId="77777777" w:rsidR="00581A5E" w:rsidRPr="00A618BE" w:rsidRDefault="00581A5E" w:rsidP="00D0581F">
      <w:pPr>
        <w:pStyle w:val="ListParagraph"/>
        <w:numPr>
          <w:ilvl w:val="0"/>
          <w:numId w:val="16"/>
        </w:numPr>
        <w:spacing w:before="240" w:after="240"/>
      </w:pPr>
      <w:r w:rsidRPr="00A618BE">
        <w:t>exhibitionism</w:t>
      </w:r>
    </w:p>
    <w:p w14:paraId="7842B3F3" w14:textId="77777777" w:rsidR="00581A5E" w:rsidRPr="00A618BE" w:rsidRDefault="00581A5E" w:rsidP="00D0581F">
      <w:pPr>
        <w:pStyle w:val="ListParagraph"/>
        <w:numPr>
          <w:ilvl w:val="0"/>
          <w:numId w:val="16"/>
        </w:numPr>
        <w:spacing w:before="240" w:after="240"/>
      </w:pPr>
      <w:r w:rsidRPr="00A618BE">
        <w:t xml:space="preserve">sexual harassment </w:t>
      </w:r>
    </w:p>
    <w:p w14:paraId="31FE584E" w14:textId="77777777" w:rsidR="00581A5E" w:rsidRPr="00A618BE" w:rsidRDefault="00581A5E" w:rsidP="00D0581F">
      <w:pPr>
        <w:pStyle w:val="ListParagraph"/>
        <w:numPr>
          <w:ilvl w:val="0"/>
          <w:numId w:val="16"/>
        </w:numPr>
        <w:spacing w:before="240" w:after="240"/>
      </w:pPr>
      <w:r w:rsidRPr="00A618BE">
        <w:t>verbal harassment/innuendo</w:t>
      </w:r>
    </w:p>
    <w:p w14:paraId="058E78E3" w14:textId="77777777" w:rsidR="00581A5E" w:rsidRPr="00A618BE" w:rsidRDefault="00581A5E" w:rsidP="00D0581F">
      <w:pPr>
        <w:pStyle w:val="ListParagraph"/>
        <w:numPr>
          <w:ilvl w:val="0"/>
          <w:numId w:val="16"/>
        </w:numPr>
        <w:spacing w:before="240" w:after="240"/>
      </w:pPr>
      <w:r w:rsidRPr="00A618BE">
        <w:t>rape</w:t>
      </w:r>
    </w:p>
    <w:p w14:paraId="45C05A0E" w14:textId="77777777" w:rsidR="00581A5E" w:rsidRPr="00A618BE" w:rsidRDefault="00581A5E" w:rsidP="00D0581F">
      <w:pPr>
        <w:pStyle w:val="ListParagraph"/>
        <w:numPr>
          <w:ilvl w:val="0"/>
          <w:numId w:val="16"/>
        </w:numPr>
        <w:spacing w:before="240" w:after="240"/>
      </w:pPr>
      <w:r w:rsidRPr="00A618BE">
        <w:t>incest/intrafamilial child sexual assault</w:t>
      </w:r>
    </w:p>
    <w:p w14:paraId="7F4BB0C3" w14:textId="7761BB0E" w:rsidR="00581A5E" w:rsidRPr="00A618BE" w:rsidRDefault="00581A5E" w:rsidP="00D0581F">
      <w:pPr>
        <w:pStyle w:val="ListParagraph"/>
        <w:numPr>
          <w:ilvl w:val="0"/>
          <w:numId w:val="16"/>
        </w:numPr>
        <w:spacing w:before="240" w:after="240"/>
      </w:pPr>
      <w:r w:rsidRPr="00A618BE">
        <w:t>stalking.</w:t>
      </w:r>
      <w:r w:rsidR="00976009" w:rsidRPr="009260BB">
        <w:t>”</w:t>
      </w:r>
      <w:r w:rsidRPr="00BE4A29">
        <w:rPr>
          <w:rStyle w:val="EndnoteReference"/>
        </w:rPr>
        <w:endnoteReference w:id="32"/>
      </w:r>
    </w:p>
    <w:p w14:paraId="57BAF5DB" w14:textId="58E2E335" w:rsidR="00121B6F" w:rsidRDefault="00581A5E" w:rsidP="00D0581F">
      <w:r w:rsidRPr="00A618BE">
        <w:t xml:space="preserve">A literature review of </w:t>
      </w:r>
      <w:r w:rsidR="00976009">
        <w:t>r</w:t>
      </w:r>
      <w:r w:rsidR="00976009" w:rsidRPr="00A618BE">
        <w:t xml:space="preserve">eproductive </w:t>
      </w:r>
      <w:r w:rsidR="00976009">
        <w:t>c</w:t>
      </w:r>
      <w:r w:rsidR="00976009" w:rsidRPr="00A618BE">
        <w:t>oercion</w:t>
      </w:r>
      <w:r w:rsidR="00976009">
        <w:t xml:space="preserve"> </w:t>
      </w:r>
      <w:r w:rsidRPr="00A618BE">
        <w:t xml:space="preserve">as sexual assault has shown that while </w:t>
      </w:r>
      <w:r w:rsidR="00976009">
        <w:t>r</w:t>
      </w:r>
      <w:r w:rsidR="00976009" w:rsidRPr="00A618BE">
        <w:t xml:space="preserve">eproductive </w:t>
      </w:r>
      <w:r w:rsidR="00976009">
        <w:t>c</w:t>
      </w:r>
      <w:r w:rsidR="00976009" w:rsidRPr="00A618BE">
        <w:t>oercion</w:t>
      </w:r>
      <w:r w:rsidR="00976009">
        <w:t xml:space="preserve"> </w:t>
      </w:r>
      <w:r w:rsidRPr="00A618BE">
        <w:t xml:space="preserve">is closely associated with </w:t>
      </w:r>
      <w:r>
        <w:t>s</w:t>
      </w:r>
      <w:r w:rsidRPr="00A618BE">
        <w:t>exual assault, or sexual coercion as it is often termed, there may be subtle distinctions between the two. For example, the American College of Obstetricians and Gynaecologists</w:t>
      </w:r>
      <w:r w:rsidR="00976009">
        <w:t xml:space="preserve"> (</w:t>
      </w:r>
      <w:r w:rsidR="00121B6F">
        <w:t>ACOG</w:t>
      </w:r>
      <w:r w:rsidR="00976009">
        <w:t>)</w:t>
      </w:r>
      <w:r w:rsidRPr="00A618BE">
        <w:t xml:space="preserve"> defines </w:t>
      </w:r>
      <w:r w:rsidR="00976009">
        <w:t>r</w:t>
      </w:r>
      <w:r w:rsidR="00976009" w:rsidRPr="00A618BE">
        <w:t xml:space="preserve">eproductive </w:t>
      </w:r>
      <w:r w:rsidR="00976009">
        <w:t>c</w:t>
      </w:r>
      <w:r w:rsidR="00976009" w:rsidRPr="00A618BE">
        <w:t>oercion</w:t>
      </w:r>
      <w:r w:rsidR="00976009">
        <w:t xml:space="preserve"> </w:t>
      </w:r>
      <w:r w:rsidRPr="00A618BE">
        <w:t>in the context of pregnancy as controlling behaviours, including threats of violence, with the intention of coercing another person to continue or end a pregnancy. Sexual coercion is defined as behaviours that coerced a partner into having sex or interfere with the sexual health of a partner</w:t>
      </w:r>
      <w:r>
        <w:t>.</w:t>
      </w:r>
      <w:r w:rsidRPr="00A618BE">
        <w:rPr>
          <w:rStyle w:val="EndnoteReference"/>
        </w:rPr>
        <w:endnoteReference w:id="33"/>
      </w:r>
      <w:r w:rsidRPr="00A618BE">
        <w:t xml:space="preserve"> However, both definitions focus on the intentions of the perpetrator, and much of the behaviours associated with both </w:t>
      </w:r>
      <w:r w:rsidR="00976009">
        <w:t>r</w:t>
      </w:r>
      <w:r w:rsidR="00976009" w:rsidRPr="00A618BE">
        <w:t xml:space="preserve">eproductive </w:t>
      </w:r>
      <w:r w:rsidR="00976009">
        <w:t>c</w:t>
      </w:r>
      <w:r w:rsidR="00976009" w:rsidRPr="00A618BE">
        <w:t>oercion</w:t>
      </w:r>
      <w:r w:rsidR="00976009">
        <w:t xml:space="preserve"> </w:t>
      </w:r>
      <w:r w:rsidRPr="00A618BE">
        <w:t xml:space="preserve">and sexual coercion are similar in that they seek to control a partner. Not all sexual assault or sexual coercion leads to an unintended pregnancy. The outcome of the coercion should not be its defining characteristic. The defining characteristic should be the intention of the perpetrator. The most prominent intentions of perpetrators in terms of </w:t>
      </w:r>
      <w:r>
        <w:t>FV</w:t>
      </w:r>
      <w:r w:rsidRPr="00A618BE">
        <w:t>, IPV</w:t>
      </w:r>
      <w:r>
        <w:t xml:space="preserve"> and SV</w:t>
      </w:r>
      <w:r w:rsidRPr="00A618BE">
        <w:t xml:space="preserve"> are power and control. </w:t>
      </w:r>
    </w:p>
    <w:p w14:paraId="15C91557" w14:textId="3CC7CAC7" w:rsidR="00581A5E" w:rsidRPr="00A618BE" w:rsidRDefault="00581A5E" w:rsidP="00D0581F">
      <w:r w:rsidRPr="00A618BE">
        <w:lastRenderedPageBreak/>
        <w:t xml:space="preserve">Equally the most important characteristics of </w:t>
      </w:r>
      <w:r w:rsidR="00976009">
        <w:t>r</w:t>
      </w:r>
      <w:r w:rsidR="00976009" w:rsidRPr="00A618BE">
        <w:t xml:space="preserve">eproductive </w:t>
      </w:r>
      <w:r w:rsidR="00976009">
        <w:t>c</w:t>
      </w:r>
      <w:r w:rsidR="00976009" w:rsidRPr="00A618BE">
        <w:t>oercion</w:t>
      </w:r>
      <w:r w:rsidR="00976009">
        <w:t xml:space="preserve"> </w:t>
      </w:r>
      <w:r w:rsidRPr="00A618BE">
        <w:t>are power and control.</w:t>
      </w:r>
      <w:r w:rsidRPr="00A618BE">
        <w:rPr>
          <w:rStyle w:val="EndnoteReference"/>
        </w:rPr>
        <w:endnoteReference w:id="34"/>
      </w:r>
      <w:r w:rsidRPr="00A618BE">
        <w:t xml:space="preserve">  </w:t>
      </w:r>
      <w:r w:rsidR="00976009">
        <w:t>R</w:t>
      </w:r>
      <w:r w:rsidR="00976009" w:rsidRPr="00A618BE">
        <w:t xml:space="preserve">eproductive </w:t>
      </w:r>
      <w:r w:rsidR="00976009">
        <w:t>c</w:t>
      </w:r>
      <w:r w:rsidR="00976009" w:rsidRPr="00A618BE">
        <w:t>oercion</w:t>
      </w:r>
      <w:r w:rsidR="00976009">
        <w:t xml:space="preserve"> </w:t>
      </w:r>
      <w:r w:rsidRPr="00A618BE">
        <w:t xml:space="preserve">is therefore viewed as closely linked but not identical to </w:t>
      </w:r>
      <w:r>
        <w:t>SV</w:t>
      </w:r>
      <w:r w:rsidRPr="00A618BE">
        <w:t xml:space="preserve">.  </w:t>
      </w:r>
    </w:p>
    <w:p w14:paraId="5E445EAE" w14:textId="23261D00" w:rsidR="00581A5E" w:rsidRPr="00BE4A29" w:rsidRDefault="00581A5E" w:rsidP="00D0581F">
      <w:pPr>
        <w:rPr>
          <w:b/>
        </w:rPr>
      </w:pPr>
      <w:bookmarkStart w:id="109" w:name="_Toc530573358"/>
      <w:r w:rsidRPr="00BE4A29">
        <w:rPr>
          <w:b/>
        </w:rPr>
        <w:t xml:space="preserve">Gender and </w:t>
      </w:r>
      <w:r w:rsidR="00976009" w:rsidRPr="00BE4A29">
        <w:rPr>
          <w:b/>
        </w:rPr>
        <w:t>reproductive coercion</w:t>
      </w:r>
      <w:bookmarkEnd w:id="109"/>
    </w:p>
    <w:p w14:paraId="7FF11C43" w14:textId="37137C4C" w:rsidR="00581A5E" w:rsidRPr="00A618BE" w:rsidRDefault="00581A5E" w:rsidP="00D0581F">
      <w:r w:rsidRPr="00A618BE">
        <w:t xml:space="preserve">The gendered nature of </w:t>
      </w:r>
      <w:r w:rsidR="00976009">
        <w:t>r</w:t>
      </w:r>
      <w:r w:rsidR="00976009" w:rsidRPr="00A618BE">
        <w:t xml:space="preserve">eproductive </w:t>
      </w:r>
      <w:r w:rsidR="00976009">
        <w:t>c</w:t>
      </w:r>
      <w:r w:rsidR="00976009" w:rsidRPr="00A618BE">
        <w:t>oercion</w:t>
      </w:r>
      <w:r w:rsidR="00976009">
        <w:t xml:space="preserve"> </w:t>
      </w:r>
      <w:r w:rsidRPr="00A618BE">
        <w:t xml:space="preserve">was a point of contention in the consultation process. Some submissions proposed a definition of </w:t>
      </w:r>
      <w:r w:rsidR="00976009">
        <w:t>r</w:t>
      </w:r>
      <w:r w:rsidR="00976009" w:rsidRPr="00A618BE">
        <w:t xml:space="preserve">eproductive </w:t>
      </w:r>
      <w:r w:rsidR="00976009">
        <w:t>c</w:t>
      </w:r>
      <w:r w:rsidR="00976009" w:rsidRPr="00A618BE">
        <w:t>oercion</w:t>
      </w:r>
      <w:r w:rsidR="00976009">
        <w:t xml:space="preserve"> </w:t>
      </w:r>
      <w:r w:rsidRPr="00A618BE">
        <w:t xml:space="preserve">that recognised the gendered nature of </w:t>
      </w:r>
      <w:r w:rsidR="00976009">
        <w:t>r</w:t>
      </w:r>
      <w:r w:rsidR="00976009" w:rsidRPr="00A618BE">
        <w:t xml:space="preserve">eproductive </w:t>
      </w:r>
      <w:r w:rsidR="00976009">
        <w:t>c</w:t>
      </w:r>
      <w:r w:rsidR="00976009" w:rsidRPr="00A618BE">
        <w:t>oercion</w:t>
      </w:r>
      <w:r w:rsidRPr="00A618BE">
        <w:t xml:space="preserve">. However, other submissions argued that a definition of </w:t>
      </w:r>
      <w:r w:rsidR="00976009">
        <w:t>r</w:t>
      </w:r>
      <w:r w:rsidR="00976009" w:rsidRPr="00A618BE">
        <w:t xml:space="preserve">eproductive </w:t>
      </w:r>
      <w:r w:rsidR="00976009">
        <w:t>c</w:t>
      </w:r>
      <w:r w:rsidR="00976009" w:rsidRPr="00A618BE">
        <w:t>oercion</w:t>
      </w:r>
      <w:r w:rsidRPr="00A618BE">
        <w:t xml:space="preserve">, and the research and interventions that use that definition, need to be mindful of gender and relationship diversity. </w:t>
      </w:r>
    </w:p>
    <w:p w14:paraId="5FD63B7C" w14:textId="78E06758" w:rsidR="00581A5E" w:rsidRPr="00A618BE" w:rsidRDefault="00581A5E" w:rsidP="00D0581F">
      <w:r w:rsidRPr="00A618BE">
        <w:t xml:space="preserve">Using a definition of </w:t>
      </w:r>
      <w:r w:rsidR="00976009">
        <w:t>r</w:t>
      </w:r>
      <w:r w:rsidR="00976009" w:rsidRPr="00A618BE">
        <w:t xml:space="preserve">eproductive </w:t>
      </w:r>
      <w:r w:rsidR="00976009">
        <w:t>c</w:t>
      </w:r>
      <w:r w:rsidR="00976009" w:rsidRPr="00A618BE">
        <w:t>oercion</w:t>
      </w:r>
      <w:r w:rsidR="00976009">
        <w:t xml:space="preserve"> </w:t>
      </w:r>
      <w:r w:rsidRPr="00A618BE">
        <w:t xml:space="preserve">that is gender neutral does not preclude the need to apply </w:t>
      </w:r>
      <w:r>
        <w:t xml:space="preserve">a </w:t>
      </w:r>
      <w:r w:rsidRPr="00A618BE">
        <w:t xml:space="preserve">gender lens when appropriate. Much of the research on </w:t>
      </w:r>
      <w:r w:rsidR="00976009">
        <w:t>r</w:t>
      </w:r>
      <w:r w:rsidR="00976009" w:rsidRPr="00A618BE">
        <w:t xml:space="preserve">eproductive </w:t>
      </w:r>
      <w:r w:rsidR="00976009">
        <w:t>c</w:t>
      </w:r>
      <w:r w:rsidR="00976009" w:rsidRPr="00A618BE">
        <w:t>oercion</w:t>
      </w:r>
      <w:r w:rsidR="00976009">
        <w:t xml:space="preserve"> </w:t>
      </w:r>
      <w:r w:rsidRPr="00A618BE">
        <w:t>in Australia and overseas focuses on cis</w:t>
      </w:r>
      <w:r w:rsidRPr="00A618BE">
        <w:rPr>
          <w:rStyle w:val="EndnoteReference"/>
        </w:rPr>
        <w:endnoteReference w:id="35"/>
      </w:r>
      <w:r w:rsidRPr="00A618BE">
        <w:t xml:space="preserve"> women in heterosexual relationships. </w:t>
      </w:r>
      <w:r w:rsidR="00647301">
        <w:t>W</w:t>
      </w:r>
      <w:r w:rsidRPr="00A618BE">
        <w:t xml:space="preserve">e will continue to explore and address the </w:t>
      </w:r>
      <w:r w:rsidR="00647301">
        <w:t>intersectionality</w:t>
      </w:r>
      <w:r w:rsidR="00647301" w:rsidRPr="00A618BE">
        <w:t xml:space="preserve"> </w:t>
      </w:r>
      <w:r w:rsidR="00647301">
        <w:t xml:space="preserve">of </w:t>
      </w:r>
      <w:r w:rsidR="00976009">
        <w:t>r</w:t>
      </w:r>
      <w:r w:rsidR="00976009" w:rsidRPr="00A618BE">
        <w:t xml:space="preserve">eproductive </w:t>
      </w:r>
      <w:r w:rsidR="00976009">
        <w:t>c</w:t>
      </w:r>
      <w:r w:rsidR="00976009" w:rsidRPr="00A618BE">
        <w:t>oercion</w:t>
      </w:r>
      <w:r w:rsidRPr="00A618BE">
        <w:t>.</w:t>
      </w:r>
    </w:p>
    <w:p w14:paraId="6D9BD8C3" w14:textId="597F88C2" w:rsidR="00647301" w:rsidRDefault="00581A5E" w:rsidP="00D0581F">
      <w:r w:rsidRPr="00A618BE">
        <w:t xml:space="preserve">However, we have heeded advice from a number of stakeholders to ensure that the definition of </w:t>
      </w:r>
      <w:r w:rsidR="00976009">
        <w:t>r</w:t>
      </w:r>
      <w:r w:rsidR="00976009" w:rsidRPr="00A618BE">
        <w:t xml:space="preserve">eproductive </w:t>
      </w:r>
      <w:r w:rsidR="00976009">
        <w:t>c</w:t>
      </w:r>
      <w:r w:rsidR="00976009" w:rsidRPr="00A618BE">
        <w:t>oercion</w:t>
      </w:r>
      <w:r w:rsidR="00976009">
        <w:t xml:space="preserve"> </w:t>
      </w:r>
      <w:r w:rsidRPr="00A618BE">
        <w:t xml:space="preserve">is gender </w:t>
      </w:r>
      <w:proofErr w:type="gramStart"/>
      <w:r w:rsidRPr="00A618BE">
        <w:t>neutral, and</w:t>
      </w:r>
      <w:proofErr w:type="gramEnd"/>
      <w:r w:rsidRPr="00A618BE">
        <w:t xml:space="preserve"> does not specify the gender or sexual orientation of either partner in a relationship where </w:t>
      </w:r>
      <w:r w:rsidR="00194CC8">
        <w:t>r</w:t>
      </w:r>
      <w:r w:rsidR="00194CC8" w:rsidRPr="00A618BE">
        <w:t xml:space="preserve">eproductive </w:t>
      </w:r>
      <w:r w:rsidR="00194CC8">
        <w:t>c</w:t>
      </w:r>
      <w:r w:rsidR="00194CC8" w:rsidRPr="00A618BE">
        <w:t>oercion</w:t>
      </w:r>
      <w:r w:rsidR="00194CC8">
        <w:t xml:space="preserve"> </w:t>
      </w:r>
      <w:r w:rsidRPr="00A618BE">
        <w:t>is present. This is particularly important g</w:t>
      </w:r>
      <w:r>
        <w:t>iven that a 2014 survey of LGBT</w:t>
      </w:r>
      <w:r w:rsidR="00F02FFF">
        <w:t>I</w:t>
      </w:r>
      <w:r w:rsidRPr="00A618BE">
        <w:t>Q</w:t>
      </w:r>
      <w:r w:rsidR="00F02FFF">
        <w:t>+</w:t>
      </w:r>
      <w:r w:rsidRPr="00A618BE">
        <w:t xml:space="preserve"> people in Australia revealed that more than half of the respondents (54.7%) had previously been in one or more emotionally abusive relationships and that more than a third (34.8%) had been psychically or sexually assaulted by a partner. </w:t>
      </w:r>
    </w:p>
    <w:p w14:paraId="38B4FBB5" w14:textId="3A76A9ED" w:rsidR="00581A5E" w:rsidRPr="00A618BE" w:rsidRDefault="00581A5E" w:rsidP="00D0581F">
      <w:r w:rsidRPr="00A618BE">
        <w:t>North American research also found that women who have sex with women and men experienced significantly higher rates of IPV over a lifetime than women who have sex with men</w:t>
      </w:r>
      <w:r w:rsidR="00564FD1">
        <w:t xml:space="preserve">. </w:t>
      </w:r>
      <w:r w:rsidRPr="00A618BE">
        <w:t xml:space="preserve">The same study also showed that </w:t>
      </w:r>
      <w:r w:rsidR="00976009" w:rsidRPr="00A618BE">
        <w:t xml:space="preserve">women who have sex with women </w:t>
      </w:r>
      <w:r w:rsidRPr="00A618BE">
        <w:t xml:space="preserve">were more likely to be subjected to </w:t>
      </w:r>
      <w:r w:rsidR="00976009">
        <w:t>men</w:t>
      </w:r>
      <w:r w:rsidRPr="00A618BE">
        <w:t xml:space="preserve">-perpetrated </w:t>
      </w:r>
      <w:r w:rsidR="00564FD1">
        <w:t>reproductive coercion</w:t>
      </w:r>
      <w:r w:rsidRPr="00A618BE">
        <w:t>, high risk sexual behaviour, and unplanned pregnancy and more likely to access regular pregnancy testing without additional corresponding contraceptive measures</w:t>
      </w:r>
      <w:r>
        <w:t>.</w:t>
      </w:r>
      <w:r w:rsidRPr="00A618BE">
        <w:rPr>
          <w:rStyle w:val="EndnoteReference"/>
        </w:rPr>
        <w:endnoteReference w:id="36"/>
      </w:r>
      <w:r w:rsidRPr="00A618BE">
        <w:t xml:space="preserve"> The Youth Risk Behaviour Survey, conducted in North America</w:t>
      </w:r>
      <w:r w:rsidR="00121B6F">
        <w:t>,</w:t>
      </w:r>
      <w:r w:rsidRPr="00A618BE">
        <w:t xml:space="preserve"> also showed that </w:t>
      </w:r>
      <w:r w:rsidR="00647301">
        <w:t>young people</w:t>
      </w:r>
      <w:r w:rsidR="00647301" w:rsidRPr="00A618BE">
        <w:t xml:space="preserve"> </w:t>
      </w:r>
      <w:r w:rsidRPr="00A618BE">
        <w:t xml:space="preserve">who reported same-sex sexual encounters also experienced twice the rate of physical and SV than their peers </w:t>
      </w:r>
      <w:r w:rsidR="00564FD1">
        <w:t>in heterosexual relationships</w:t>
      </w:r>
      <w:r>
        <w:t>.</w:t>
      </w:r>
      <w:r w:rsidRPr="00A618BE">
        <w:rPr>
          <w:rStyle w:val="EndnoteReference"/>
        </w:rPr>
        <w:endnoteReference w:id="37"/>
      </w:r>
      <w:r w:rsidRPr="00A618BE">
        <w:t xml:space="preserve"> </w:t>
      </w:r>
    </w:p>
    <w:p w14:paraId="12292BAB" w14:textId="4D84FD16" w:rsidR="00581A5E" w:rsidRPr="00A618BE" w:rsidRDefault="00581A5E" w:rsidP="00D0581F">
      <w:r w:rsidRPr="00A618BE">
        <w:t xml:space="preserve">Data on the prevalence of </w:t>
      </w:r>
      <w:r w:rsidR="00976009" w:rsidRPr="00A618BE">
        <w:t xml:space="preserve">women who have sex with women </w:t>
      </w:r>
      <w:r w:rsidRPr="00A618BE">
        <w:t>in the LGBTIQ</w:t>
      </w:r>
      <w:r w:rsidR="00C56F73">
        <w:t>+</w:t>
      </w:r>
      <w:r w:rsidRPr="00A618BE">
        <w:t xml:space="preserve"> community is scarce. As part of efforts to address </w:t>
      </w:r>
      <w:r w:rsidR="00976009">
        <w:t>r</w:t>
      </w:r>
      <w:r w:rsidR="00976009" w:rsidRPr="00A618BE">
        <w:t xml:space="preserve">eproductive </w:t>
      </w:r>
      <w:r w:rsidR="00976009">
        <w:t>c</w:t>
      </w:r>
      <w:r w:rsidR="00976009" w:rsidRPr="00A618BE">
        <w:t>oercion</w:t>
      </w:r>
      <w:r w:rsidR="00976009">
        <w:t xml:space="preserve"> </w:t>
      </w:r>
      <w:r w:rsidRPr="00A618BE">
        <w:t xml:space="preserve">in the Australian context, research of the lived experiences of </w:t>
      </w:r>
      <w:r w:rsidR="00976009">
        <w:t>r</w:t>
      </w:r>
      <w:r w:rsidR="00976009" w:rsidRPr="00A618BE">
        <w:t xml:space="preserve">eproductive </w:t>
      </w:r>
      <w:r w:rsidR="00976009">
        <w:t>c</w:t>
      </w:r>
      <w:r w:rsidR="00976009" w:rsidRPr="00A618BE">
        <w:t>oercion</w:t>
      </w:r>
      <w:r w:rsidR="00976009">
        <w:t xml:space="preserve"> </w:t>
      </w:r>
      <w:r w:rsidRPr="00A618BE">
        <w:t xml:space="preserve">should include </w:t>
      </w:r>
      <w:r w:rsidR="00564FD1">
        <w:t xml:space="preserve">LGBTIQ+ perspectives, </w:t>
      </w:r>
      <w:proofErr w:type="gramStart"/>
      <w:r w:rsidR="00564FD1">
        <w:t>researchers</w:t>
      </w:r>
      <w:proofErr w:type="gramEnd"/>
      <w:r w:rsidR="00564FD1">
        <w:t xml:space="preserve"> and health consumers.</w:t>
      </w:r>
    </w:p>
    <w:p w14:paraId="507CFB96" w14:textId="01EE1116" w:rsidR="00581A5E" w:rsidRPr="00BE4A29" w:rsidRDefault="00581A5E" w:rsidP="00D0581F">
      <w:pPr>
        <w:rPr>
          <w:b/>
        </w:rPr>
      </w:pPr>
      <w:bookmarkStart w:id="110" w:name="_Toc530573359"/>
      <w:r w:rsidRPr="00BE4A29">
        <w:rPr>
          <w:b/>
        </w:rPr>
        <w:t xml:space="preserve">Men’s experience of </w:t>
      </w:r>
      <w:r w:rsidR="00976009" w:rsidRPr="00BE4A29">
        <w:rPr>
          <w:b/>
        </w:rPr>
        <w:t>reproductive coercion</w:t>
      </w:r>
      <w:bookmarkEnd w:id="110"/>
    </w:p>
    <w:p w14:paraId="414F9091" w14:textId="77777777" w:rsidR="00121B6F" w:rsidRDefault="00581A5E" w:rsidP="00D0581F">
      <w:r w:rsidRPr="00A618BE">
        <w:t xml:space="preserve">In Australia and internationally, </w:t>
      </w:r>
      <w:r w:rsidR="00976009">
        <w:t>r</w:t>
      </w:r>
      <w:r w:rsidR="00976009" w:rsidRPr="00A618BE">
        <w:t xml:space="preserve">eproductive </w:t>
      </w:r>
      <w:r w:rsidR="00976009">
        <w:t>c</w:t>
      </w:r>
      <w:r w:rsidR="00976009" w:rsidRPr="00A618BE">
        <w:t>oercion</w:t>
      </w:r>
      <w:r w:rsidR="00976009">
        <w:t xml:space="preserve"> </w:t>
      </w:r>
      <w:r w:rsidRPr="00A618BE">
        <w:t xml:space="preserve">research and responses focus on male-perpetrator coercion of women’s reproductive health decisions. This may be because experiences of IPV, </w:t>
      </w:r>
      <w:r w:rsidR="00976009">
        <w:t>r</w:t>
      </w:r>
      <w:r w:rsidR="00976009" w:rsidRPr="00A618BE">
        <w:t xml:space="preserve">eproductive </w:t>
      </w:r>
      <w:r w:rsidR="00976009">
        <w:t>c</w:t>
      </w:r>
      <w:r w:rsidR="00976009" w:rsidRPr="00A618BE">
        <w:t>oercion</w:t>
      </w:r>
      <w:r w:rsidR="00976009">
        <w:t xml:space="preserve"> </w:t>
      </w:r>
      <w:r w:rsidRPr="00A618BE">
        <w:t>and sexual assault are higher among women than they are among men and because most violence against women is perpetrated by men</w:t>
      </w:r>
      <w:r>
        <w:t>.</w:t>
      </w:r>
      <w:r w:rsidRPr="00A618BE">
        <w:rPr>
          <w:rStyle w:val="EndnoteReference"/>
        </w:rPr>
        <w:endnoteReference w:id="38"/>
      </w:r>
      <w:r w:rsidRPr="00A618BE">
        <w:t xml:space="preserve"> However, at least two submissions to this </w:t>
      </w:r>
      <w:r w:rsidR="00976009">
        <w:t>w</w:t>
      </w:r>
      <w:r w:rsidRPr="00A618BE">
        <w:t xml:space="preserve">hite </w:t>
      </w:r>
      <w:r w:rsidR="00976009">
        <w:t>p</w:t>
      </w:r>
      <w:r w:rsidRPr="00A618BE">
        <w:t xml:space="preserve">aper addressed men’s experiences of </w:t>
      </w:r>
      <w:r w:rsidR="00976009">
        <w:t>r</w:t>
      </w:r>
      <w:r w:rsidR="00976009" w:rsidRPr="00A618BE">
        <w:t xml:space="preserve">eproductive </w:t>
      </w:r>
      <w:r w:rsidR="00976009">
        <w:t>c</w:t>
      </w:r>
      <w:r w:rsidR="00976009" w:rsidRPr="00A618BE">
        <w:t>oercion</w:t>
      </w:r>
      <w:r w:rsidR="00976009">
        <w:t xml:space="preserve"> </w:t>
      </w:r>
      <w:r w:rsidRPr="00A618BE">
        <w:t xml:space="preserve">by their female partner. </w:t>
      </w:r>
    </w:p>
    <w:p w14:paraId="65CC99BC" w14:textId="7561BAFE" w:rsidR="00581A5E" w:rsidRPr="00A618BE" w:rsidRDefault="00581A5E" w:rsidP="00D0581F">
      <w:r w:rsidRPr="00A618BE">
        <w:lastRenderedPageBreak/>
        <w:t xml:space="preserve">There is little research on the male experience of </w:t>
      </w:r>
      <w:r w:rsidR="00976009">
        <w:t>r</w:t>
      </w:r>
      <w:r w:rsidR="00976009" w:rsidRPr="00A618BE">
        <w:t xml:space="preserve">eproductive </w:t>
      </w:r>
      <w:r w:rsidR="00976009">
        <w:t>c</w:t>
      </w:r>
      <w:r w:rsidR="00976009" w:rsidRPr="00A618BE">
        <w:t>oercion</w:t>
      </w:r>
      <w:r w:rsidR="00976009">
        <w:t xml:space="preserve"> </w:t>
      </w:r>
      <w:r w:rsidRPr="00A618BE">
        <w:t xml:space="preserve">although evidence suggests that it does occur and may be equally, or more, prevalent than </w:t>
      </w:r>
      <w:r w:rsidR="00976009">
        <w:t>r</w:t>
      </w:r>
      <w:r w:rsidR="00976009" w:rsidRPr="00A618BE">
        <w:t xml:space="preserve">eproductive </w:t>
      </w:r>
      <w:r w:rsidR="00976009">
        <w:t>c</w:t>
      </w:r>
      <w:r w:rsidR="00976009" w:rsidRPr="00A618BE">
        <w:t>oercion</w:t>
      </w:r>
      <w:r w:rsidR="00976009">
        <w:t xml:space="preserve"> </w:t>
      </w:r>
      <w:r w:rsidRPr="00A618BE">
        <w:t xml:space="preserve">perpetrated by men against women. A North American 2010 nation-wide survey of </w:t>
      </w:r>
      <w:r>
        <w:t>IPV</w:t>
      </w:r>
      <w:r w:rsidRPr="00A618BE">
        <w:t xml:space="preserve"> by the Centre for Disease Control revealed that 8.6% of women (or 10.3 million) had experienced </w:t>
      </w:r>
      <w:r w:rsidR="00976009">
        <w:t>r</w:t>
      </w:r>
      <w:r w:rsidR="00976009" w:rsidRPr="00A618BE">
        <w:t xml:space="preserve">eproductive </w:t>
      </w:r>
      <w:r w:rsidR="00976009">
        <w:t>c</w:t>
      </w:r>
      <w:r w:rsidR="00976009" w:rsidRPr="00A618BE">
        <w:t>oercion</w:t>
      </w:r>
      <w:r w:rsidRPr="00A618BE">
        <w:t xml:space="preserve">. The same study also revealed that 10.4% of men (or 11.7 million) reportedly experienced </w:t>
      </w:r>
      <w:r w:rsidR="00976009">
        <w:t>r</w:t>
      </w:r>
      <w:r w:rsidR="00976009" w:rsidRPr="00A618BE">
        <w:t xml:space="preserve">eproductive </w:t>
      </w:r>
      <w:r w:rsidR="00976009">
        <w:t>c</w:t>
      </w:r>
      <w:r w:rsidR="00976009" w:rsidRPr="00A618BE">
        <w:t>oercion</w:t>
      </w:r>
      <w:r w:rsidRPr="00A618BE">
        <w:t xml:space="preserve">. </w:t>
      </w:r>
    </w:p>
    <w:p w14:paraId="75329EE1" w14:textId="553FC4CD" w:rsidR="00581A5E" w:rsidRPr="00A618BE" w:rsidRDefault="00581A5E" w:rsidP="00D0581F">
      <w:r w:rsidRPr="00A618BE">
        <w:t xml:space="preserve">Research into the lived experiences of </w:t>
      </w:r>
      <w:r w:rsidR="00976009">
        <w:t>r</w:t>
      </w:r>
      <w:r w:rsidR="00976009" w:rsidRPr="00A618BE">
        <w:t xml:space="preserve">eproductive </w:t>
      </w:r>
      <w:r w:rsidR="00976009">
        <w:t>c</w:t>
      </w:r>
      <w:r w:rsidR="00976009" w:rsidRPr="00A618BE">
        <w:t>oercion</w:t>
      </w:r>
      <w:r w:rsidR="00976009">
        <w:t xml:space="preserve"> </w:t>
      </w:r>
      <w:r w:rsidRPr="00A618BE">
        <w:t xml:space="preserve">should also include men as experiencers of coercion to assist in comparing the gendered nature of such experiences and to target intervention, </w:t>
      </w:r>
      <w:proofErr w:type="gramStart"/>
      <w:r w:rsidRPr="00A618BE">
        <w:t>response</w:t>
      </w:r>
      <w:proofErr w:type="gramEnd"/>
      <w:r w:rsidRPr="00A618BE">
        <w:t xml:space="preserve"> and prevention measures. </w:t>
      </w:r>
    </w:p>
    <w:p w14:paraId="320618EC" w14:textId="0A6DC39E" w:rsidR="00581A5E" w:rsidRPr="00BE4A29" w:rsidRDefault="00647301" w:rsidP="00D0581F">
      <w:pPr>
        <w:rPr>
          <w:b/>
        </w:rPr>
      </w:pPr>
      <w:bookmarkStart w:id="111" w:name="_Toc530573360"/>
      <w:r>
        <w:rPr>
          <w:b/>
        </w:rPr>
        <w:t>Y</w:t>
      </w:r>
      <w:r w:rsidR="00581A5E" w:rsidRPr="00BE4A29">
        <w:rPr>
          <w:b/>
        </w:rPr>
        <w:t>oung people</w:t>
      </w:r>
      <w:bookmarkEnd w:id="111"/>
    </w:p>
    <w:p w14:paraId="2EF6E0E4" w14:textId="4866FBB1" w:rsidR="00581A5E" w:rsidRPr="00A618BE" w:rsidRDefault="00581A5E" w:rsidP="00D0581F">
      <w:r w:rsidRPr="00A618BE">
        <w:t xml:space="preserve">Some research suggests that </w:t>
      </w:r>
      <w:r w:rsidR="00647301">
        <w:t>young people</w:t>
      </w:r>
      <w:r w:rsidR="00647301" w:rsidRPr="00A618BE">
        <w:t xml:space="preserve"> </w:t>
      </w:r>
      <w:r w:rsidRPr="00A618BE">
        <w:t>are more susceptible to coercion than their older counterparts</w:t>
      </w:r>
      <w:r>
        <w:t>.</w:t>
      </w:r>
      <w:r w:rsidRPr="00A618BE">
        <w:rPr>
          <w:rStyle w:val="EndnoteReference"/>
        </w:rPr>
        <w:endnoteReference w:id="39"/>
      </w:r>
      <w:r w:rsidRPr="00A618BE">
        <w:t xml:space="preserve"> Like many other age cohorts, the presence of IPV in </w:t>
      </w:r>
      <w:r w:rsidR="00647301">
        <w:t>young people’s relationships</w:t>
      </w:r>
      <w:r w:rsidR="00647301" w:rsidRPr="00A618BE">
        <w:t xml:space="preserve"> </w:t>
      </w:r>
      <w:r w:rsidRPr="00A618BE">
        <w:t xml:space="preserve">often correlated with </w:t>
      </w:r>
      <w:r w:rsidR="00976009">
        <w:t>r</w:t>
      </w:r>
      <w:r w:rsidR="00976009" w:rsidRPr="00A618BE">
        <w:t xml:space="preserve">eproductive </w:t>
      </w:r>
      <w:r w:rsidR="00976009">
        <w:t>c</w:t>
      </w:r>
      <w:r w:rsidR="00976009" w:rsidRPr="00A618BE">
        <w:t>oercion</w:t>
      </w:r>
      <w:r w:rsidR="00976009">
        <w:t xml:space="preserve"> </w:t>
      </w:r>
      <w:r w:rsidRPr="00A618BE">
        <w:t>and sexual and physical assault</w:t>
      </w:r>
      <w:r>
        <w:t>.</w:t>
      </w:r>
      <w:r w:rsidRPr="00A618BE">
        <w:rPr>
          <w:rStyle w:val="EndnoteReference"/>
        </w:rPr>
        <w:endnoteReference w:id="40"/>
      </w:r>
      <w:r w:rsidRPr="00A618BE">
        <w:t xml:space="preserve">  Common examples of </w:t>
      </w:r>
      <w:r w:rsidR="00976009">
        <w:t>r</w:t>
      </w:r>
      <w:r w:rsidR="00976009" w:rsidRPr="00A618BE">
        <w:t xml:space="preserve">eproductive </w:t>
      </w:r>
      <w:r w:rsidR="00976009">
        <w:t>c</w:t>
      </w:r>
      <w:r w:rsidR="00976009" w:rsidRPr="00A618BE">
        <w:t>oercion</w:t>
      </w:r>
      <w:r w:rsidR="00976009">
        <w:t xml:space="preserve"> </w:t>
      </w:r>
      <w:r w:rsidRPr="00A618BE">
        <w:t xml:space="preserve">among young people include being coerced to not use a condom during sex, either by means of force or by using love and fidelity as a means of coercion. For example, a coercive partner telling their partner “if you loved me you would… [have sex without a condom]” or accusing their partner of infidelity if they request </w:t>
      </w:r>
      <w:r>
        <w:t>the use of a condom</w:t>
      </w:r>
      <w:r w:rsidRPr="00A618BE">
        <w:t xml:space="preserve">. Another commonly reported example of </w:t>
      </w:r>
      <w:r w:rsidR="00976009">
        <w:t>r</w:t>
      </w:r>
      <w:r w:rsidR="00976009" w:rsidRPr="00A618BE">
        <w:t xml:space="preserve">eproductive </w:t>
      </w:r>
      <w:r w:rsidR="00976009">
        <w:t>c</w:t>
      </w:r>
      <w:r w:rsidR="00976009" w:rsidRPr="00A618BE">
        <w:t>oercion</w:t>
      </w:r>
      <w:r w:rsidR="00976009">
        <w:t xml:space="preserve"> </w:t>
      </w:r>
      <w:r w:rsidRPr="00A618BE">
        <w:t xml:space="preserve">among young people involves a coercive partner deliberately failing to withdraw before ejaculation during sexual intercourse, despite agreeing on this method of contraception. In addition to intimate partners, </w:t>
      </w:r>
      <w:r w:rsidR="00647301">
        <w:t>young people</w:t>
      </w:r>
      <w:r w:rsidR="00647301" w:rsidRPr="00A618BE">
        <w:t xml:space="preserve"> </w:t>
      </w:r>
      <w:r w:rsidRPr="00A618BE">
        <w:t xml:space="preserve">can also experience </w:t>
      </w:r>
      <w:r w:rsidR="00976009">
        <w:t>r</w:t>
      </w:r>
      <w:r w:rsidR="00976009" w:rsidRPr="00A618BE">
        <w:t xml:space="preserve">eproductive </w:t>
      </w:r>
      <w:r w:rsidR="00976009">
        <w:t>c</w:t>
      </w:r>
      <w:r w:rsidR="00976009" w:rsidRPr="00A618BE">
        <w:t>oercion</w:t>
      </w:r>
      <w:r w:rsidR="00976009">
        <w:t xml:space="preserve"> </w:t>
      </w:r>
      <w:r w:rsidRPr="00A618BE">
        <w:t>from other family members such as mothers, particularly in the case of unintended pregnancy</w:t>
      </w:r>
      <w:r>
        <w:t>.</w:t>
      </w:r>
      <w:r w:rsidRPr="00A618BE">
        <w:rPr>
          <w:rStyle w:val="EndnoteReference"/>
        </w:rPr>
        <w:endnoteReference w:id="41"/>
      </w:r>
    </w:p>
    <w:p w14:paraId="501E456C" w14:textId="77753D39" w:rsidR="00581A5E" w:rsidRPr="00A618BE" w:rsidRDefault="00581A5E" w:rsidP="00D0581F">
      <w:r w:rsidRPr="00A618BE">
        <w:t xml:space="preserve">There is, however, no conclusive evidence that shows younger people or </w:t>
      </w:r>
      <w:r w:rsidR="00647301">
        <w:t>young people</w:t>
      </w:r>
      <w:r w:rsidR="00647301" w:rsidRPr="00A618BE">
        <w:t xml:space="preserve"> </w:t>
      </w:r>
      <w:r w:rsidRPr="00A618BE">
        <w:t xml:space="preserve">are more likely to experience coercion. Research in Australia by Children </w:t>
      </w:r>
      <w:r w:rsidR="00976009">
        <w:t>b</w:t>
      </w:r>
      <w:r w:rsidRPr="00A618BE">
        <w:t xml:space="preserve">y Choice has shown that clients accessing the support services under 20 years of age experienced </w:t>
      </w:r>
      <w:r w:rsidR="00976009">
        <w:t>r</w:t>
      </w:r>
      <w:r w:rsidR="00976009" w:rsidRPr="00A618BE">
        <w:t xml:space="preserve">eproductive </w:t>
      </w:r>
      <w:r w:rsidR="00976009">
        <w:t>c</w:t>
      </w:r>
      <w:r w:rsidR="00976009" w:rsidRPr="00A618BE">
        <w:t>oercion</w:t>
      </w:r>
      <w:r w:rsidR="00976009">
        <w:t xml:space="preserve"> </w:t>
      </w:r>
      <w:r w:rsidRPr="00A618BE">
        <w:t>at a rate of 12.5% as opposed to 21.8% for clients in the 20-29 year age bracket.</w:t>
      </w:r>
      <w:r w:rsidRPr="00A618BE">
        <w:rPr>
          <w:rStyle w:val="EndnoteReference"/>
        </w:rPr>
        <w:endnoteReference w:id="42"/>
      </w:r>
      <w:r w:rsidRPr="00A618BE">
        <w:t xml:space="preserve">  </w:t>
      </w:r>
      <w:r>
        <w:t>However, a</w:t>
      </w:r>
      <w:r w:rsidRPr="00A618BE">
        <w:t xml:space="preserve"> study from North America of 3,539 women accessing family planning clinics in Pennsylvania showed a strong correlation between </w:t>
      </w:r>
      <w:r w:rsidR="00976009">
        <w:t>r</w:t>
      </w:r>
      <w:r w:rsidR="00976009" w:rsidRPr="00A618BE">
        <w:t xml:space="preserve">eproductive </w:t>
      </w:r>
      <w:r w:rsidR="00976009">
        <w:t>c</w:t>
      </w:r>
      <w:r w:rsidR="00976009" w:rsidRPr="00A618BE">
        <w:t>oercion</w:t>
      </w:r>
      <w:r w:rsidRPr="00A618BE">
        <w:t xml:space="preserve">, IPV and sexual assault among young women aged 16-29 years. The likelihood of experiencing </w:t>
      </w:r>
      <w:r w:rsidR="00976009">
        <w:t>r</w:t>
      </w:r>
      <w:r w:rsidR="00976009" w:rsidRPr="00A618BE">
        <w:t xml:space="preserve">eproductive </w:t>
      </w:r>
      <w:r w:rsidR="00976009">
        <w:t>c</w:t>
      </w:r>
      <w:r w:rsidR="00976009" w:rsidRPr="00A618BE">
        <w:t>oercion</w:t>
      </w:r>
      <w:r w:rsidR="00976009">
        <w:t xml:space="preserve"> </w:t>
      </w:r>
      <w:r w:rsidRPr="00A618BE">
        <w:t>was also found to be more common among young women who self-reported lower education levels, ‘</w:t>
      </w:r>
      <w:r>
        <w:t>non-w</w:t>
      </w:r>
      <w:r w:rsidRPr="00A618BE">
        <w:t xml:space="preserve">hite’ </w:t>
      </w:r>
      <w:proofErr w:type="gramStart"/>
      <w:r w:rsidRPr="00A618BE">
        <w:t>ethnicity</w:t>
      </w:r>
      <w:proofErr w:type="gramEnd"/>
      <w:r w:rsidRPr="00A618BE">
        <w:t xml:space="preserve"> and previous unintended pregnancy</w:t>
      </w:r>
      <w:r>
        <w:t>.</w:t>
      </w:r>
      <w:r w:rsidRPr="00A618BE">
        <w:rPr>
          <w:rStyle w:val="EndnoteReference"/>
        </w:rPr>
        <w:endnoteReference w:id="43"/>
      </w:r>
    </w:p>
    <w:p w14:paraId="345A1BB9" w14:textId="61F9D785" w:rsidR="00121B6F" w:rsidRDefault="00581A5E" w:rsidP="00D0581F">
      <w:r w:rsidRPr="00A618BE">
        <w:t xml:space="preserve">Given there is conflicting evidence as to the susceptibility of young people to </w:t>
      </w:r>
      <w:r w:rsidR="00976009">
        <w:t>r</w:t>
      </w:r>
      <w:r w:rsidR="00976009" w:rsidRPr="00A618BE">
        <w:t xml:space="preserve">eproductive </w:t>
      </w:r>
      <w:r w:rsidR="00976009">
        <w:t>c</w:t>
      </w:r>
      <w:r w:rsidR="00976009" w:rsidRPr="00A618BE">
        <w:t>oercion</w:t>
      </w:r>
      <w:r w:rsidRPr="00A618BE">
        <w:t>, it is important that this cohort is included in research on the lived experiences of</w:t>
      </w:r>
      <w:r w:rsidR="00976009" w:rsidRPr="00976009">
        <w:t xml:space="preserve"> </w:t>
      </w:r>
      <w:r w:rsidR="00976009">
        <w:t>r</w:t>
      </w:r>
      <w:r w:rsidR="00976009" w:rsidRPr="00A618BE">
        <w:t xml:space="preserve">eproductive </w:t>
      </w:r>
      <w:r w:rsidR="00976009">
        <w:t>c</w:t>
      </w:r>
      <w:r w:rsidR="00976009" w:rsidRPr="00A618BE">
        <w:t>oercion</w:t>
      </w:r>
      <w:r w:rsidRPr="00A618BE">
        <w:t xml:space="preserve">. Further, evidence that </w:t>
      </w:r>
      <w:r w:rsidR="00647301">
        <w:t>young people</w:t>
      </w:r>
      <w:r w:rsidR="00647301" w:rsidRPr="00A618BE">
        <w:t xml:space="preserve"> </w:t>
      </w:r>
      <w:r w:rsidRPr="00A618BE">
        <w:t xml:space="preserve">often experience </w:t>
      </w:r>
      <w:r w:rsidR="00976009">
        <w:t>r</w:t>
      </w:r>
      <w:r w:rsidR="00976009" w:rsidRPr="00A618BE">
        <w:t xml:space="preserve">eproductive </w:t>
      </w:r>
      <w:r w:rsidR="00976009">
        <w:t>c</w:t>
      </w:r>
      <w:r w:rsidR="00976009" w:rsidRPr="00A618BE">
        <w:t>oercion</w:t>
      </w:r>
      <w:r w:rsidR="00976009">
        <w:t xml:space="preserve"> </w:t>
      </w:r>
      <w:r w:rsidRPr="00A618BE">
        <w:t xml:space="preserve">as their partner’s refusal to use a condom suggests a role for </w:t>
      </w:r>
      <w:r w:rsidR="00976009">
        <w:t>r</w:t>
      </w:r>
      <w:r w:rsidR="00976009" w:rsidRPr="00A618BE">
        <w:t xml:space="preserve">eproductive </w:t>
      </w:r>
      <w:r w:rsidR="00976009">
        <w:t>c</w:t>
      </w:r>
      <w:r w:rsidR="00976009" w:rsidRPr="00A618BE">
        <w:t>oercion</w:t>
      </w:r>
      <w:r w:rsidR="00976009">
        <w:t xml:space="preserve"> </w:t>
      </w:r>
      <w:r w:rsidRPr="00A618BE">
        <w:t>screening of young people who are regularly accessing termination services, assistance for unintended pregnancies and STI screening and treatment</w:t>
      </w:r>
      <w:r>
        <w:t>.</w:t>
      </w:r>
      <w:r w:rsidRPr="00A618BE">
        <w:rPr>
          <w:rStyle w:val="EndnoteReference"/>
        </w:rPr>
        <w:endnoteReference w:id="44"/>
      </w:r>
    </w:p>
    <w:p w14:paraId="48CDF91C" w14:textId="77777777" w:rsidR="00121B6F" w:rsidRDefault="00121B6F">
      <w:pPr>
        <w:spacing w:after="160" w:line="259" w:lineRule="auto"/>
      </w:pPr>
      <w:r>
        <w:br w:type="page"/>
      </w:r>
    </w:p>
    <w:p w14:paraId="0F9854CC" w14:textId="3CAF7190" w:rsidR="00581A5E" w:rsidRPr="00A618BE" w:rsidRDefault="00581A5E" w:rsidP="00D0581F"/>
    <w:p w14:paraId="430D2663" w14:textId="3CF67D36" w:rsidR="00581A5E" w:rsidRDefault="00121B6F" w:rsidP="00D0581F">
      <w:pPr>
        <w:rPr>
          <w:b/>
        </w:rPr>
      </w:pPr>
      <w:bookmarkStart w:id="112" w:name="_Toc530573361"/>
      <w:r w:rsidRPr="00121B6F">
        <w:rPr>
          <w:b/>
          <w:noProof/>
          <w:lang w:eastAsia="en-AU"/>
        </w:rPr>
        <mc:AlternateContent>
          <mc:Choice Requires="wps">
            <w:drawing>
              <wp:anchor distT="45720" distB="45720" distL="114300" distR="114300" simplePos="0" relativeHeight="251683840" behindDoc="0" locked="0" layoutInCell="1" allowOverlap="1" wp14:anchorId="40B4501A" wp14:editId="0828364C">
                <wp:simplePos x="0" y="0"/>
                <wp:positionH relativeFrom="margin">
                  <wp:posOffset>-1270</wp:posOffset>
                </wp:positionH>
                <wp:positionV relativeFrom="paragraph">
                  <wp:posOffset>459105</wp:posOffset>
                </wp:positionV>
                <wp:extent cx="5737860" cy="1404620"/>
                <wp:effectExtent l="0" t="0" r="0" b="50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404620"/>
                        </a:xfrm>
                        <a:prstGeom prst="rect">
                          <a:avLst/>
                        </a:prstGeom>
                        <a:solidFill>
                          <a:srgbClr val="9BAF91"/>
                        </a:solidFill>
                        <a:ln w="9525">
                          <a:noFill/>
                          <a:miter lim="800000"/>
                          <a:headEnd/>
                          <a:tailEnd/>
                        </a:ln>
                      </wps:spPr>
                      <wps:txbx>
                        <w:txbxContent>
                          <w:p w14:paraId="3270CC40" w14:textId="6C44B06E" w:rsidR="00D76477" w:rsidRDefault="00D76477">
                            <w:pPr>
                              <w:rPr>
                                <w:b/>
                                <w:bCs/>
                              </w:rPr>
                            </w:pPr>
                            <w:r>
                              <w:rPr>
                                <w:b/>
                                <w:bCs/>
                              </w:rPr>
                              <w:t>“There can be no greater institutional violence against the reproductive health of an Aboriginal and Torres Strait Islander woman than to implement legislation to render parents powerless to know of their children’s whereabouts and incapable of protecti</w:t>
                            </w:r>
                            <w:r w:rsidR="00D34DD8">
                              <w:rPr>
                                <w:b/>
                                <w:bCs/>
                              </w:rPr>
                              <w:t>ng</w:t>
                            </w:r>
                            <w:r>
                              <w:rPr>
                                <w:b/>
                                <w:bCs/>
                              </w:rPr>
                              <w:t xml:space="preserve"> them from exploitation and abuse.”</w:t>
                            </w:r>
                          </w:p>
                          <w:p w14:paraId="6AF2272A" w14:textId="246E37F0" w:rsidR="00D76477" w:rsidRPr="00121B6F" w:rsidRDefault="00D76477">
                            <w:pPr>
                              <w:rPr>
                                <w:b/>
                                <w:bCs/>
                              </w:rPr>
                            </w:pPr>
                            <w:r>
                              <w:rPr>
                                <w:b/>
                                <w:bCs/>
                              </w:rPr>
                              <w:t xml:space="preserve">Professor Kerry </w:t>
                            </w:r>
                            <w:proofErr w:type="spellStart"/>
                            <w:r>
                              <w:rPr>
                                <w:b/>
                                <w:bCs/>
                              </w:rPr>
                              <w:t>Arabena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4501A" id="_x0000_s1029" type="#_x0000_t202" style="position:absolute;margin-left:-.1pt;margin-top:36.15pt;width:451.8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" fillcolor="#9baf91" stroked="f">
                <v:textbox style="mso-fit-shape-to-text:t">
                  <w:txbxContent>
                    <w:p w14:paraId="3270CC40" w14:textId="6C44B06E" w:rsidR="00D76477" w:rsidRDefault="00D76477">
                      <w:pPr>
                        <w:rPr>
                          <w:b/>
                          <w:bCs/>
                        </w:rPr>
                      </w:pPr>
                      <w:r>
                        <w:rPr>
                          <w:b/>
                          <w:bCs/>
                        </w:rPr>
                        <w:t>“There can be no greater institutional violence against the reproductive health of an Aboriginal and Torres Strait Islander woman than to implement legislation to render parents powerless to know of their children’s whereabouts and incapable of protecti</w:t>
                      </w:r>
                      <w:r w:rsidR="00D34DD8">
                        <w:rPr>
                          <w:b/>
                          <w:bCs/>
                        </w:rPr>
                        <w:t>ng</w:t>
                      </w:r>
                      <w:r>
                        <w:rPr>
                          <w:b/>
                          <w:bCs/>
                        </w:rPr>
                        <w:t xml:space="preserve"> them from exploitation and abuse.”</w:t>
                      </w:r>
                    </w:p>
                    <w:p w14:paraId="6AF2272A" w14:textId="246E37F0" w:rsidR="00D76477" w:rsidRPr="00121B6F" w:rsidRDefault="00D76477">
                      <w:pPr>
                        <w:rPr>
                          <w:b/>
                          <w:bCs/>
                        </w:rPr>
                      </w:pPr>
                      <w:r>
                        <w:rPr>
                          <w:b/>
                          <w:bCs/>
                        </w:rPr>
                        <w:t xml:space="preserve">Professor Kerry </w:t>
                      </w:r>
                      <w:proofErr w:type="spellStart"/>
                      <w:r>
                        <w:rPr>
                          <w:b/>
                          <w:bCs/>
                        </w:rPr>
                        <w:t>Arabena</w:t>
                      </w:r>
                      <w:proofErr w:type="spellEnd"/>
                    </w:p>
                  </w:txbxContent>
                </v:textbox>
                <w10:wrap type="square" anchorx="margin"/>
              </v:shape>
            </w:pict>
          </mc:Fallback>
        </mc:AlternateContent>
      </w:r>
      <w:r w:rsidR="00581A5E" w:rsidRPr="00BE4A29">
        <w:rPr>
          <w:b/>
        </w:rPr>
        <w:t xml:space="preserve">Aboriginal and Torres Strait Islander </w:t>
      </w:r>
      <w:r w:rsidR="00A4111F">
        <w:rPr>
          <w:b/>
        </w:rPr>
        <w:t>p</w:t>
      </w:r>
      <w:r w:rsidR="00581A5E" w:rsidRPr="00BE4A29">
        <w:rPr>
          <w:b/>
        </w:rPr>
        <w:t>eople</w:t>
      </w:r>
      <w:bookmarkEnd w:id="112"/>
    </w:p>
    <w:p w14:paraId="799FA13E" w14:textId="3B942259" w:rsidR="00121B6F" w:rsidRDefault="00121B6F" w:rsidP="00D0581F">
      <w:pPr>
        <w:rPr>
          <w:b/>
        </w:rPr>
      </w:pPr>
    </w:p>
    <w:p w14:paraId="44C2D7B4" w14:textId="62BEFFE1" w:rsidR="00581A5E" w:rsidRPr="00A618BE" w:rsidRDefault="00581A5E" w:rsidP="00D0581F">
      <w:r w:rsidRPr="00A618BE">
        <w:t xml:space="preserve">Aboriginal and Torres Strait Islander people have been subjected to state-supported structural and interpersonal forms of </w:t>
      </w:r>
      <w:r w:rsidR="00976009">
        <w:t>r</w:t>
      </w:r>
      <w:r w:rsidR="00976009" w:rsidRPr="00A618BE">
        <w:t xml:space="preserve">eproductive </w:t>
      </w:r>
      <w:r w:rsidR="00976009">
        <w:t>c</w:t>
      </w:r>
      <w:r w:rsidR="00976009" w:rsidRPr="00A618BE">
        <w:t>oercion</w:t>
      </w:r>
      <w:r w:rsidR="00976009">
        <w:t xml:space="preserve"> </w:t>
      </w:r>
      <w:r w:rsidRPr="00A618BE">
        <w:t>since colonisation</w:t>
      </w:r>
      <w:r>
        <w:t>.</w:t>
      </w:r>
      <w:r w:rsidRPr="00A618BE">
        <w:rPr>
          <w:rStyle w:val="EndnoteReference"/>
        </w:rPr>
        <w:endnoteReference w:id="45"/>
      </w:r>
      <w:r w:rsidRPr="00A618BE">
        <w:t xml:space="preserve"> Experiences of </w:t>
      </w:r>
      <w:r w:rsidR="00976009">
        <w:t>r</w:t>
      </w:r>
      <w:r w:rsidR="00976009" w:rsidRPr="00A618BE">
        <w:t xml:space="preserve">eproductive </w:t>
      </w:r>
      <w:r w:rsidR="00976009">
        <w:t>c</w:t>
      </w:r>
      <w:r w:rsidR="00976009" w:rsidRPr="00A618BE">
        <w:t>oercion</w:t>
      </w:r>
      <w:r w:rsidRPr="00A618BE">
        <w:t xml:space="preserve"> are the source of significant trauma for Aboriginal and Torres Strait Islander people, both historically and in the present day. </w:t>
      </w:r>
      <w:r>
        <w:t>Methods</w:t>
      </w:r>
      <w:r w:rsidRPr="00A618BE">
        <w:t xml:space="preserve"> of control of the sexual and reproductive health and rights of Aboriginal and Torres Strait Island</w:t>
      </w:r>
      <w:r w:rsidR="00976009">
        <w:t>er</w:t>
      </w:r>
      <w:r w:rsidRPr="00A618BE">
        <w:t xml:space="preserve"> </w:t>
      </w:r>
      <w:r w:rsidR="00976009">
        <w:t>p</w:t>
      </w:r>
      <w:r w:rsidRPr="00A618BE">
        <w:t>eople since colonisation</w:t>
      </w:r>
      <w:r>
        <w:t xml:space="preserve"> have been mapped by on one of Australia’s leading Indigenous health experts, Professor Kerry </w:t>
      </w:r>
      <w:proofErr w:type="spellStart"/>
      <w:r>
        <w:t>Arabena</w:t>
      </w:r>
      <w:proofErr w:type="spellEnd"/>
      <w:r>
        <w:t>:</w:t>
      </w:r>
    </w:p>
    <w:p w14:paraId="01D9E1A5" w14:textId="77777777" w:rsidR="00581A5E" w:rsidRPr="00A618BE" w:rsidRDefault="00581A5E" w:rsidP="00D0581F">
      <w:pPr>
        <w:pStyle w:val="ListParagraph"/>
        <w:numPr>
          <w:ilvl w:val="0"/>
          <w:numId w:val="17"/>
        </w:numPr>
        <w:spacing w:before="240" w:after="240"/>
      </w:pPr>
      <w:r w:rsidRPr="00A618BE">
        <w:t>Indigenous people were perceived as property of the colonialists. Policy and practice tended to view Indigenous women as providers of sexual services and SV and assault against Aboriginal and Torres Strait Islander people was not criminalised.</w:t>
      </w:r>
    </w:p>
    <w:p w14:paraId="1EB234D6" w14:textId="7F28AFE6" w:rsidR="00581A5E" w:rsidRPr="00A618BE" w:rsidRDefault="00581A5E" w:rsidP="00D0581F">
      <w:pPr>
        <w:pStyle w:val="ListParagraph"/>
        <w:numPr>
          <w:ilvl w:val="0"/>
          <w:numId w:val="17"/>
        </w:numPr>
        <w:spacing w:before="240" w:after="240"/>
      </w:pPr>
      <w:r w:rsidRPr="00A618BE">
        <w:t>Indigenous people were stereotyped as sexually depraved and this view dominated medical research and practice in the early 19</w:t>
      </w:r>
      <w:r w:rsidRPr="00A618BE">
        <w:rPr>
          <w:vertAlign w:val="superscript"/>
        </w:rPr>
        <w:t>th</w:t>
      </w:r>
      <w:r w:rsidRPr="00A618BE">
        <w:t xml:space="preserve"> century. Sexually </w:t>
      </w:r>
      <w:r w:rsidR="00564FD1">
        <w:t>t</w:t>
      </w:r>
      <w:r w:rsidRPr="00A618BE">
        <w:t xml:space="preserve">ransmitted </w:t>
      </w:r>
      <w:r w:rsidR="00564FD1">
        <w:t>i</w:t>
      </w:r>
      <w:r w:rsidRPr="00A618BE">
        <w:t>nfections (STIs) were viewed as proof of this depravity, even though STIs were introduced and spread by European colonisers</w:t>
      </w:r>
      <w:r>
        <w:t>.</w:t>
      </w:r>
      <w:r w:rsidRPr="00A618BE">
        <w:rPr>
          <w:rStyle w:val="EndnoteReference"/>
        </w:rPr>
        <w:endnoteReference w:id="46"/>
      </w:r>
    </w:p>
    <w:p w14:paraId="35A1AA92" w14:textId="77777777" w:rsidR="00581A5E" w:rsidRPr="00A618BE" w:rsidRDefault="00581A5E" w:rsidP="00D0581F">
      <w:pPr>
        <w:pStyle w:val="ListParagraph"/>
        <w:numPr>
          <w:ilvl w:val="0"/>
          <w:numId w:val="17"/>
        </w:numPr>
        <w:spacing w:before="240" w:after="240"/>
      </w:pPr>
      <w:r w:rsidRPr="00A618BE">
        <w:t>Aboriginal people were perceived to be ‘dying out’ with the spread of STIs and other diseases providing a rationale for both ‘protection’ and a view that Aboriginal and Torres Strait Islander people could be ‘bred out’ through the forced removal of Aboriginal and Torres Strait Islander children.</w:t>
      </w:r>
    </w:p>
    <w:p w14:paraId="16196FB2" w14:textId="77777777" w:rsidR="00581A5E" w:rsidRPr="00A618BE" w:rsidRDefault="00581A5E" w:rsidP="00D0581F">
      <w:pPr>
        <w:pStyle w:val="ListParagraph"/>
        <w:numPr>
          <w:ilvl w:val="0"/>
          <w:numId w:val="17"/>
        </w:numPr>
        <w:spacing w:before="240" w:after="240"/>
      </w:pPr>
      <w:r w:rsidRPr="00A618BE">
        <w:t xml:space="preserve">Government policies served to regulate, separate, remove and institutionalise Aboriginal and Torres Strait Island children. Professor Kerry </w:t>
      </w:r>
      <w:proofErr w:type="spellStart"/>
      <w:r w:rsidRPr="00A618BE">
        <w:t>Arabena</w:t>
      </w:r>
      <w:proofErr w:type="spellEnd"/>
      <w:r w:rsidRPr="00A618BE">
        <w:t xml:space="preserve"> of Melbourne University describes that “for an Indigenous woman to be reproductively healthy during this phase of Australian history was to result in your children being taken away”.</w:t>
      </w:r>
    </w:p>
    <w:p w14:paraId="68DEAC2B" w14:textId="4FCCF580" w:rsidR="00581A5E" w:rsidRDefault="00581A5E" w:rsidP="00D0581F">
      <w:pPr>
        <w:pStyle w:val="ListParagraph"/>
        <w:numPr>
          <w:ilvl w:val="0"/>
          <w:numId w:val="17"/>
        </w:numPr>
        <w:spacing w:before="240" w:after="240"/>
      </w:pPr>
      <w:r w:rsidRPr="00A618BE">
        <w:t>Assumption of Western ideals of motherhood and Western medical intervention in birthing assumed that Aboriginal and Torres Strait Island</w:t>
      </w:r>
      <w:r w:rsidR="00976009">
        <w:t>er</w:t>
      </w:r>
      <w:r w:rsidRPr="00A618BE">
        <w:t xml:space="preserve"> people needed to be taught to be competent mothers. The </w:t>
      </w:r>
      <w:r>
        <w:t>application of Western standards</w:t>
      </w:r>
      <w:r w:rsidRPr="00A618BE">
        <w:t xml:space="preserve"> to Indigenous parenthood has provided an opportunity to question the capacity of Indigenous peoples to properly care for themselves and their children. </w:t>
      </w:r>
    </w:p>
    <w:p w14:paraId="04F307EB" w14:textId="77777777" w:rsidR="00A73267" w:rsidRPr="00A618BE" w:rsidRDefault="00A73267" w:rsidP="00A73267">
      <w:pPr>
        <w:spacing w:before="240" w:after="240"/>
      </w:pPr>
    </w:p>
    <w:p w14:paraId="417FE9C7" w14:textId="56F0FC5F" w:rsidR="00581A5E" w:rsidRPr="00A618BE" w:rsidRDefault="00581A5E" w:rsidP="00D0581F">
      <w:pPr>
        <w:pStyle w:val="ListParagraph"/>
        <w:numPr>
          <w:ilvl w:val="0"/>
          <w:numId w:val="17"/>
        </w:numPr>
        <w:spacing w:before="240" w:after="240"/>
      </w:pPr>
      <w:r w:rsidRPr="00A618BE">
        <w:lastRenderedPageBreak/>
        <w:t xml:space="preserve">Indigenous people do not have the same autonomy over their reproductive health that non-Indigenous people </w:t>
      </w:r>
      <w:proofErr w:type="gramStart"/>
      <w:r w:rsidRPr="00A618BE">
        <w:t>have</w:t>
      </w:r>
      <w:proofErr w:type="gramEnd"/>
      <w:r w:rsidRPr="00A618BE">
        <w:t xml:space="preserve"> and women do not have same level of access to safe legal abortion options than non-Indigenous women. Developments that have enabled non-Indigenous women to access terminations have not been afforded to </w:t>
      </w:r>
      <w:r w:rsidR="00976009" w:rsidRPr="00A618BE">
        <w:t>Aboriginal and Torres Strait Island</w:t>
      </w:r>
      <w:r w:rsidR="00976009">
        <w:t>er</w:t>
      </w:r>
      <w:r w:rsidR="00976009" w:rsidRPr="00A618BE">
        <w:t xml:space="preserve"> </w:t>
      </w:r>
      <w:r w:rsidRPr="00A618BE">
        <w:t>women particularly in remote areas.</w:t>
      </w:r>
    </w:p>
    <w:p w14:paraId="6338504E" w14:textId="760E9F0D" w:rsidR="00581A5E" w:rsidRPr="00A618BE" w:rsidRDefault="00581A5E" w:rsidP="00D0581F">
      <w:pPr>
        <w:pStyle w:val="ListParagraph"/>
        <w:numPr>
          <w:ilvl w:val="0"/>
          <w:numId w:val="17"/>
        </w:numPr>
        <w:spacing w:before="240" w:after="240"/>
      </w:pPr>
      <w:r w:rsidRPr="00A618BE">
        <w:t xml:space="preserve">A belief that it is culturally appropriate for Aboriginal and Torres Strait Islander people to have children when they are young. Non-Indigenous people are, increasingly delaying marriage and starting a family </w:t>
      </w:r>
      <w:proofErr w:type="gramStart"/>
      <w:r w:rsidRPr="00A618BE">
        <w:t>in order to</w:t>
      </w:r>
      <w:proofErr w:type="gramEnd"/>
      <w:r w:rsidRPr="00A618BE">
        <w:t xml:space="preserve"> participate in the modern Australian economy. For Aboriginal and Torres Strait Islander people, particularly young people, this belief is making it increasingly more difficult for them to have access to education, employment and to participate in the modern Australian economy. </w:t>
      </w:r>
    </w:p>
    <w:p w14:paraId="026DB873" w14:textId="06C0DFB9" w:rsidR="00581A5E" w:rsidRPr="00A618BE" w:rsidRDefault="00581A5E" w:rsidP="00D0581F">
      <w:r w:rsidRPr="00A618BE">
        <w:t xml:space="preserve">These methods of </w:t>
      </w:r>
      <w:r w:rsidR="0010198D">
        <w:t>r</w:t>
      </w:r>
      <w:r w:rsidR="0010198D" w:rsidRPr="00A618BE">
        <w:t xml:space="preserve">eproductive </w:t>
      </w:r>
      <w:r w:rsidR="0010198D">
        <w:t>c</w:t>
      </w:r>
      <w:r w:rsidR="0010198D" w:rsidRPr="00A618BE">
        <w:t>oercion</w:t>
      </w:r>
      <w:r w:rsidR="0010198D">
        <w:t xml:space="preserve"> </w:t>
      </w:r>
      <w:r w:rsidRPr="00A618BE">
        <w:t>have been implemented throughout the history of colonisation and continue to negatively impact the lives of Aboriginal and Torres Strait Islander</w:t>
      </w:r>
      <w:r w:rsidR="0010198D">
        <w:t xml:space="preserve"> people</w:t>
      </w:r>
      <w:r w:rsidRPr="00A618BE">
        <w:t xml:space="preserve">. Some academics have suggested that such methods are indicative </w:t>
      </w:r>
      <w:r>
        <w:t xml:space="preserve">of a harmful view that </w:t>
      </w:r>
      <w:r w:rsidR="0010198D" w:rsidRPr="00A618BE">
        <w:t>Aboriginal and Torres Strait Islander</w:t>
      </w:r>
      <w:r w:rsidR="0010198D">
        <w:t xml:space="preserve"> </w:t>
      </w:r>
      <w:r w:rsidRPr="00A618BE">
        <w:t>people in Australia are perceived as “less than human”</w:t>
      </w:r>
      <w:r>
        <w:t>.</w:t>
      </w:r>
      <w:r w:rsidRPr="00A618BE">
        <w:rPr>
          <w:rStyle w:val="EndnoteReference"/>
        </w:rPr>
        <w:endnoteReference w:id="47"/>
      </w:r>
      <w:r w:rsidRPr="00A618BE">
        <w:t xml:space="preserve"> </w:t>
      </w:r>
    </w:p>
    <w:p w14:paraId="4649CDC6" w14:textId="5276E655" w:rsidR="00581A5E" w:rsidRPr="00A618BE" w:rsidRDefault="00581A5E" w:rsidP="00D0581F">
      <w:r w:rsidRPr="00A618BE">
        <w:t>Current data shows that Aboriginal and Torres Strait Island</w:t>
      </w:r>
      <w:r w:rsidR="0010198D">
        <w:t>er</w:t>
      </w:r>
      <w:r w:rsidRPr="00A618BE">
        <w:t xml:space="preserve"> communities are deeply impacted by FV and IPV. According to data from Our Watch, when compared with other Australian women, Aboriginal and Torres Strait Islander women are:</w:t>
      </w:r>
    </w:p>
    <w:p w14:paraId="1867EF0A" w14:textId="0CC07852" w:rsidR="00581A5E" w:rsidRPr="00A618BE" w:rsidRDefault="00A73267" w:rsidP="00D0581F">
      <w:pPr>
        <w:pStyle w:val="ListParagraph"/>
        <w:numPr>
          <w:ilvl w:val="0"/>
          <w:numId w:val="18"/>
        </w:numPr>
        <w:spacing w:before="240" w:after="240"/>
      </w:pPr>
      <w:r>
        <w:t>t</w:t>
      </w:r>
      <w:r w:rsidR="00581A5E" w:rsidRPr="00A618BE">
        <w:t>hirty-five times more likely to b</w:t>
      </w:r>
      <w:r w:rsidR="00581A5E">
        <w:t xml:space="preserve">e hospitalised </w:t>
      </w:r>
      <w:proofErr w:type="gramStart"/>
      <w:r w:rsidR="00581A5E">
        <w:t>as a result of</w:t>
      </w:r>
      <w:proofErr w:type="gramEnd"/>
      <w:r w:rsidR="00581A5E">
        <w:t xml:space="preserve"> FV</w:t>
      </w:r>
    </w:p>
    <w:p w14:paraId="664A0F66" w14:textId="4ED49C9B" w:rsidR="00581A5E" w:rsidRPr="00A618BE" w:rsidRDefault="00A73267" w:rsidP="00D0581F">
      <w:pPr>
        <w:pStyle w:val="ListParagraph"/>
        <w:numPr>
          <w:ilvl w:val="0"/>
          <w:numId w:val="18"/>
        </w:numPr>
        <w:spacing w:before="240" w:after="240"/>
      </w:pPr>
      <w:r>
        <w:t>f</w:t>
      </w:r>
      <w:r w:rsidR="00581A5E" w:rsidRPr="00A618BE">
        <w:t>ive times more likely to be v</w:t>
      </w:r>
      <w:r w:rsidR="00581A5E">
        <w:t>ictims of homicide related to FV</w:t>
      </w:r>
    </w:p>
    <w:p w14:paraId="423DA1CF" w14:textId="4D88D6B3" w:rsidR="00581A5E" w:rsidRPr="00A618BE" w:rsidRDefault="00A73267" w:rsidP="00D0581F">
      <w:pPr>
        <w:pStyle w:val="ListParagraph"/>
        <w:numPr>
          <w:ilvl w:val="0"/>
          <w:numId w:val="18"/>
        </w:numPr>
        <w:spacing w:before="240" w:after="240"/>
      </w:pPr>
      <w:r>
        <w:t>f</w:t>
      </w:r>
      <w:r w:rsidR="00581A5E" w:rsidRPr="00A618BE">
        <w:t>ive times as likely to experience physical violence</w:t>
      </w:r>
    </w:p>
    <w:p w14:paraId="51754F4D" w14:textId="26D9CDFF" w:rsidR="00581A5E" w:rsidRPr="00A618BE" w:rsidRDefault="00A73267" w:rsidP="00D0581F">
      <w:pPr>
        <w:pStyle w:val="ListParagraph"/>
        <w:numPr>
          <w:ilvl w:val="0"/>
          <w:numId w:val="18"/>
        </w:numPr>
        <w:spacing w:before="240" w:after="240"/>
      </w:pPr>
      <w:r>
        <w:t>t</w:t>
      </w:r>
      <w:r w:rsidR="00581A5E" w:rsidRPr="00A618BE">
        <w:t>hree times as likely to experience sexual assault</w:t>
      </w:r>
      <w:r w:rsidR="00581A5E">
        <w:t>.</w:t>
      </w:r>
      <w:r w:rsidR="00581A5E" w:rsidRPr="00A618BE">
        <w:rPr>
          <w:rStyle w:val="EndnoteReference"/>
        </w:rPr>
        <w:endnoteReference w:id="48"/>
      </w:r>
    </w:p>
    <w:p w14:paraId="1C70134B" w14:textId="0D9CAAFB" w:rsidR="00581A5E" w:rsidRPr="00A618BE" w:rsidRDefault="00581A5E" w:rsidP="00D0581F">
      <w:r w:rsidRPr="00A618BE">
        <w:t xml:space="preserve">When maternal and infant health is considered, significant disparities in health outcomes between Aboriginal and Torres Strait Islander communities and </w:t>
      </w:r>
      <w:r w:rsidR="009260BB">
        <w:t>non-Indigenous</w:t>
      </w:r>
      <w:r w:rsidRPr="00A618BE">
        <w:t xml:space="preserve"> communities exist. These include higher rates of maternal mortality, preterm births, low birth weight and perinatal deaths</w:t>
      </w:r>
      <w:r>
        <w:t>.</w:t>
      </w:r>
      <w:r w:rsidRPr="00A618BE">
        <w:rPr>
          <w:rStyle w:val="EndnoteReference"/>
        </w:rPr>
        <w:endnoteReference w:id="49"/>
      </w:r>
    </w:p>
    <w:p w14:paraId="12A0E151" w14:textId="5C15CF13" w:rsidR="00581A5E" w:rsidRPr="00A618BE" w:rsidRDefault="00581A5E" w:rsidP="00D0581F">
      <w:r w:rsidRPr="00A618BE">
        <w:t xml:space="preserve">Given that much of the current data shows significant disparities in health outcomes of Aboriginal and Torres Strait Islander communities and </w:t>
      </w:r>
      <w:r w:rsidR="009260BB">
        <w:t>non-Indigenous</w:t>
      </w:r>
      <w:r w:rsidR="009260BB" w:rsidRPr="00A618BE">
        <w:t xml:space="preserve"> </w:t>
      </w:r>
      <w:r w:rsidRPr="00A618BE">
        <w:t xml:space="preserve">communities, it is likely that rates of </w:t>
      </w:r>
      <w:r w:rsidR="0010198D">
        <w:t>r</w:t>
      </w:r>
      <w:r w:rsidR="0010198D" w:rsidRPr="00A618BE">
        <w:t xml:space="preserve">eproductive </w:t>
      </w:r>
      <w:r w:rsidR="0010198D">
        <w:t>c</w:t>
      </w:r>
      <w:r w:rsidR="0010198D" w:rsidRPr="00A618BE">
        <w:t>oercion</w:t>
      </w:r>
      <w:r w:rsidR="0010198D">
        <w:t xml:space="preserve"> </w:t>
      </w:r>
      <w:r w:rsidRPr="00A618BE">
        <w:t xml:space="preserve">may also be disproportionally higher. This assumption requires validation through appropriately designed research into the true prevalence and experiences of </w:t>
      </w:r>
      <w:r w:rsidR="0010198D">
        <w:t>r</w:t>
      </w:r>
      <w:r w:rsidR="0010198D" w:rsidRPr="00A618BE">
        <w:t xml:space="preserve">eproductive </w:t>
      </w:r>
      <w:r w:rsidR="0010198D">
        <w:t>c</w:t>
      </w:r>
      <w:r w:rsidR="0010198D" w:rsidRPr="00A618BE">
        <w:t>oercion</w:t>
      </w:r>
      <w:r w:rsidR="0010198D">
        <w:t xml:space="preserve"> </w:t>
      </w:r>
      <w:r w:rsidRPr="00A618BE">
        <w:t>in the Aboriginal and Torres Strait Islander communities.</w:t>
      </w:r>
    </w:p>
    <w:p w14:paraId="40F09553" w14:textId="647F78C9" w:rsidR="00581A5E" w:rsidRPr="00A618BE" w:rsidRDefault="0010198D" w:rsidP="00D0581F">
      <w:r>
        <w:t>R</w:t>
      </w:r>
      <w:r w:rsidRPr="00A618BE">
        <w:t xml:space="preserve">eproductive </w:t>
      </w:r>
      <w:r>
        <w:t>c</w:t>
      </w:r>
      <w:r w:rsidRPr="00A618BE">
        <w:t>oercion</w:t>
      </w:r>
      <w:r>
        <w:t xml:space="preserve"> </w:t>
      </w:r>
      <w:r w:rsidR="00581A5E" w:rsidRPr="00A618BE">
        <w:t>experienced by Aborigi</w:t>
      </w:r>
      <w:r w:rsidR="00581A5E">
        <w:t>nal and Torres Strait Islander p</w:t>
      </w:r>
      <w:r w:rsidR="00581A5E" w:rsidRPr="00A618BE">
        <w:t xml:space="preserve">eople needs to be explored so we can begin to understand the trauma, including intergenerational trauma, these experiences have caused and how we are to prevent and respond to </w:t>
      </w:r>
      <w:r>
        <w:t>r</w:t>
      </w:r>
      <w:r w:rsidRPr="00A618BE">
        <w:t xml:space="preserve">eproductive </w:t>
      </w:r>
      <w:r>
        <w:t>c</w:t>
      </w:r>
      <w:r w:rsidRPr="00A618BE">
        <w:t>oercion</w:t>
      </w:r>
      <w:r>
        <w:t xml:space="preserve"> </w:t>
      </w:r>
      <w:r w:rsidR="00581A5E" w:rsidRPr="00A618BE">
        <w:t xml:space="preserve">in a culturally </w:t>
      </w:r>
      <w:r w:rsidR="00581A5E">
        <w:t>sensitive</w:t>
      </w:r>
      <w:r w:rsidR="00581A5E" w:rsidRPr="00A618BE">
        <w:t xml:space="preserve"> way. Such research should seek to give voice to diverse lived experiences of </w:t>
      </w:r>
      <w:r>
        <w:t>r</w:t>
      </w:r>
      <w:r w:rsidRPr="00A618BE">
        <w:t xml:space="preserve">eproductive </w:t>
      </w:r>
      <w:r>
        <w:t>c</w:t>
      </w:r>
      <w:r w:rsidRPr="00A618BE">
        <w:t>oercion</w:t>
      </w:r>
      <w:r>
        <w:t xml:space="preserve"> </w:t>
      </w:r>
      <w:r w:rsidR="00581A5E" w:rsidRPr="00A618BE">
        <w:t xml:space="preserve">of Aboriginal and Torres Strait Islander peoples and seek to represent the diversity of </w:t>
      </w:r>
      <w:r w:rsidR="00581A5E" w:rsidRPr="00A618BE">
        <w:lastRenderedPageBreak/>
        <w:t>Aboriginal and Torres Strait Islander communities. Such lived experiences will likely show a plethora of nuance</w:t>
      </w:r>
      <w:r w:rsidR="00581A5E">
        <w:t>s</w:t>
      </w:r>
      <w:r w:rsidR="00581A5E" w:rsidRPr="00A618BE">
        <w:t xml:space="preserve"> that may require multiple response and prevention measures</w:t>
      </w:r>
      <w:r w:rsidR="00581A5E">
        <w:t>.</w:t>
      </w:r>
      <w:r w:rsidR="00581A5E" w:rsidRPr="00A618BE">
        <w:rPr>
          <w:rStyle w:val="EndnoteReference"/>
        </w:rPr>
        <w:endnoteReference w:id="50"/>
      </w:r>
      <w:r w:rsidR="00581A5E" w:rsidRPr="00A618BE">
        <w:t xml:space="preserve"> Further, the history and ongoing legacy of power and control over Aboriginal and Torres Strait Islander people needs to be considered and addressed explicitly in </w:t>
      </w:r>
      <w:r>
        <w:t>r</w:t>
      </w:r>
      <w:r w:rsidRPr="00A618BE">
        <w:t xml:space="preserve">eproductive </w:t>
      </w:r>
      <w:r>
        <w:t>c</w:t>
      </w:r>
      <w:r w:rsidRPr="00A618BE">
        <w:t>oercion</w:t>
      </w:r>
      <w:r>
        <w:t xml:space="preserve"> </w:t>
      </w:r>
      <w:r w:rsidR="00581A5E" w:rsidRPr="00A618BE">
        <w:t>intervention, response and prevention measures if they are to be effective, including through measures to address ongoing trauma and distrust of Government services and non-Indigenous service providers</w:t>
      </w:r>
      <w:r w:rsidR="00581A5E">
        <w:t>.</w:t>
      </w:r>
      <w:r w:rsidR="00581A5E" w:rsidRPr="00A618BE">
        <w:rPr>
          <w:rStyle w:val="EndnoteReference"/>
        </w:rPr>
        <w:endnoteReference w:id="51"/>
      </w:r>
    </w:p>
    <w:p w14:paraId="689D7421" w14:textId="552D4914" w:rsidR="00581A5E" w:rsidRPr="00BE4A29" w:rsidRDefault="004A4A52" w:rsidP="00D0581F">
      <w:pPr>
        <w:rPr>
          <w:b/>
        </w:rPr>
      </w:pPr>
      <w:bookmarkStart w:id="113" w:name="_Toc530573362"/>
      <w:r>
        <w:rPr>
          <w:b/>
        </w:rPr>
        <w:t>People of m</w:t>
      </w:r>
      <w:r w:rsidR="00901EE8">
        <w:rPr>
          <w:b/>
        </w:rPr>
        <w:t>igrant and refugee</w:t>
      </w:r>
      <w:r>
        <w:rPr>
          <w:b/>
        </w:rPr>
        <w:t xml:space="preserve"> backgrounds</w:t>
      </w:r>
      <w:bookmarkEnd w:id="113"/>
    </w:p>
    <w:p w14:paraId="7B7D142A" w14:textId="37E92D5A" w:rsidR="00581A5E" w:rsidRPr="00A618BE" w:rsidRDefault="00581A5E" w:rsidP="00D0581F">
      <w:r w:rsidRPr="00A618BE">
        <w:t>As a nation made up of people from more than 200 countries, Australia is a culturally diverse place</w:t>
      </w:r>
      <w:r>
        <w:t>.</w:t>
      </w:r>
      <w:r w:rsidRPr="00A618BE">
        <w:rPr>
          <w:rStyle w:val="EndnoteReference"/>
        </w:rPr>
        <w:endnoteReference w:id="52"/>
      </w:r>
      <w:r w:rsidRPr="00A618BE">
        <w:t xml:space="preserve"> Research into </w:t>
      </w:r>
      <w:r w:rsidR="0010198D">
        <w:t>r</w:t>
      </w:r>
      <w:r w:rsidR="0010198D" w:rsidRPr="00A618BE">
        <w:t xml:space="preserve">eproductive </w:t>
      </w:r>
      <w:r w:rsidR="0010198D">
        <w:t>c</w:t>
      </w:r>
      <w:r w:rsidR="0010198D" w:rsidRPr="00A618BE">
        <w:t>oercion</w:t>
      </w:r>
      <w:r w:rsidR="0010198D">
        <w:t xml:space="preserve"> </w:t>
      </w:r>
      <w:r w:rsidR="00901EE8">
        <w:t>with and within</w:t>
      </w:r>
      <w:r w:rsidRPr="00A618BE">
        <w:t xml:space="preserve"> </w:t>
      </w:r>
      <w:r w:rsidR="00901EE8">
        <w:t>migrant and refugee</w:t>
      </w:r>
      <w:r w:rsidRPr="00A618BE">
        <w:t xml:space="preserve"> </w:t>
      </w:r>
      <w:r w:rsidR="00901EE8">
        <w:t>populations</w:t>
      </w:r>
      <w:r w:rsidR="00901EE8" w:rsidRPr="00A618BE">
        <w:t xml:space="preserve"> </w:t>
      </w:r>
      <w:r w:rsidRPr="00A618BE">
        <w:t>has shown that coercion often extends beyond the intimate partner as perpetrator to include broader familial structures</w:t>
      </w:r>
      <w:r>
        <w:t>.</w:t>
      </w:r>
      <w:r w:rsidRPr="00A618BE">
        <w:rPr>
          <w:rStyle w:val="EndnoteReference"/>
        </w:rPr>
        <w:endnoteReference w:id="53"/>
      </w:r>
    </w:p>
    <w:p w14:paraId="087B8AF8" w14:textId="5FAA6637" w:rsidR="00581A5E" w:rsidRPr="00A618BE" w:rsidRDefault="00581A5E" w:rsidP="00D0581F">
      <w:r w:rsidRPr="00A618BE">
        <w:t xml:space="preserve">While there is scant research on the experiences of </w:t>
      </w:r>
      <w:r w:rsidR="0010198D">
        <w:t>r</w:t>
      </w:r>
      <w:r w:rsidR="0010198D" w:rsidRPr="00A618BE">
        <w:t xml:space="preserve">eproductive </w:t>
      </w:r>
      <w:r w:rsidR="0010198D">
        <w:t>c</w:t>
      </w:r>
      <w:r w:rsidR="0010198D" w:rsidRPr="00A618BE">
        <w:t>oercion</w:t>
      </w:r>
      <w:r w:rsidR="0010198D">
        <w:t xml:space="preserve"> </w:t>
      </w:r>
      <w:r w:rsidRPr="00A618BE">
        <w:t xml:space="preserve">and more broadly SV among </w:t>
      </w:r>
      <w:r w:rsidR="008222C7">
        <w:t>migrant and refugee</w:t>
      </w:r>
      <w:r w:rsidR="008222C7" w:rsidRPr="00A618BE">
        <w:t xml:space="preserve"> </w:t>
      </w:r>
      <w:r w:rsidRPr="00A618BE">
        <w:t>communities,</w:t>
      </w:r>
      <w:r w:rsidRPr="00A618BE">
        <w:rPr>
          <w:rStyle w:val="EndnoteReference"/>
        </w:rPr>
        <w:endnoteReference w:id="54"/>
      </w:r>
      <w:r w:rsidRPr="00A618BE">
        <w:t xml:space="preserve"> the limited research available suggests that there are a number of factors that should be considered when exploring the issue of </w:t>
      </w:r>
      <w:r w:rsidR="0010198D">
        <w:t>r</w:t>
      </w:r>
      <w:r w:rsidR="0010198D" w:rsidRPr="00A618BE">
        <w:t xml:space="preserve">eproductive </w:t>
      </w:r>
      <w:r w:rsidR="0010198D">
        <w:t>c</w:t>
      </w:r>
      <w:r w:rsidR="0010198D" w:rsidRPr="00A618BE">
        <w:t>oercion</w:t>
      </w:r>
      <w:r w:rsidR="0010198D">
        <w:t xml:space="preserve"> </w:t>
      </w:r>
      <w:r w:rsidRPr="00A618BE">
        <w:t xml:space="preserve">and any likely responses and preventative initiatives. These include: </w:t>
      </w:r>
    </w:p>
    <w:p w14:paraId="068EFB61" w14:textId="6FECE918" w:rsidR="00581A5E" w:rsidRPr="00A618BE" w:rsidRDefault="00A73267" w:rsidP="00D0581F">
      <w:pPr>
        <w:pStyle w:val="ListParagraph"/>
        <w:numPr>
          <w:ilvl w:val="0"/>
          <w:numId w:val="19"/>
        </w:numPr>
        <w:spacing w:before="240" w:after="240"/>
      </w:pPr>
      <w:r>
        <w:t>t</w:t>
      </w:r>
      <w:r w:rsidR="00581A5E" w:rsidRPr="00A618BE">
        <w:t>he importance of shame on an individual, familial and community level</w:t>
      </w:r>
      <w:r w:rsidR="00581A5E" w:rsidRPr="00A618BE">
        <w:rPr>
          <w:rStyle w:val="EndnoteReference"/>
        </w:rPr>
        <w:endnoteReference w:id="55"/>
      </w:r>
      <w:r w:rsidR="00581A5E" w:rsidRPr="00A618BE">
        <w:t xml:space="preserve"> can lead to a person’s experience being secondary to family and community reputation</w:t>
      </w:r>
      <w:r w:rsidR="00581A5E" w:rsidRPr="00A618BE">
        <w:rPr>
          <w:rStyle w:val="EndnoteReference"/>
        </w:rPr>
        <w:endnoteReference w:id="56"/>
      </w:r>
      <w:r w:rsidR="00581A5E" w:rsidRPr="00A618BE">
        <w:t xml:space="preserve">  </w:t>
      </w:r>
    </w:p>
    <w:p w14:paraId="364E5CF4" w14:textId="11A48772" w:rsidR="00581A5E" w:rsidRPr="00A618BE" w:rsidRDefault="00A73267" w:rsidP="00D0581F">
      <w:pPr>
        <w:pStyle w:val="ListParagraph"/>
        <w:numPr>
          <w:ilvl w:val="0"/>
          <w:numId w:val="19"/>
        </w:numPr>
        <w:spacing w:before="240" w:after="240"/>
      </w:pPr>
      <w:r>
        <w:t>l</w:t>
      </w:r>
      <w:r w:rsidR="00581A5E" w:rsidRPr="00A618BE">
        <w:t xml:space="preserve">anguage and cultural barriers and a fear of repercussion if </w:t>
      </w:r>
      <w:r w:rsidR="0010198D">
        <w:t>r</w:t>
      </w:r>
      <w:r w:rsidR="0010198D" w:rsidRPr="00A618BE">
        <w:t xml:space="preserve">eproductive </w:t>
      </w:r>
      <w:r w:rsidR="0010198D">
        <w:t>c</w:t>
      </w:r>
      <w:r w:rsidR="0010198D" w:rsidRPr="00A618BE">
        <w:t>oercion</w:t>
      </w:r>
      <w:r w:rsidR="0010198D">
        <w:t xml:space="preserve"> </w:t>
      </w:r>
      <w:r w:rsidR="00581A5E" w:rsidRPr="00A618BE">
        <w:t>is reported or raised</w:t>
      </w:r>
      <w:r w:rsidR="00581A5E">
        <w:t>.</w:t>
      </w:r>
      <w:r w:rsidR="00581A5E" w:rsidRPr="00A618BE">
        <w:rPr>
          <w:rStyle w:val="EndnoteReference"/>
        </w:rPr>
        <w:endnoteReference w:id="57"/>
      </w:r>
      <w:r w:rsidR="00581A5E" w:rsidRPr="00A618BE">
        <w:t xml:space="preserve"> </w:t>
      </w:r>
      <w:r w:rsidR="00581A5E" w:rsidRPr="00A618BE">
        <w:rPr>
          <w:rStyle w:val="EndnoteReference"/>
        </w:rPr>
        <w:endnoteReference w:id="58"/>
      </w:r>
      <w:r w:rsidR="00581A5E" w:rsidRPr="00A618BE">
        <w:t xml:space="preserve"> </w:t>
      </w:r>
      <w:r w:rsidR="00581A5E" w:rsidRPr="00A618BE">
        <w:rPr>
          <w:rStyle w:val="EndnoteReference"/>
        </w:rPr>
        <w:endnoteReference w:id="59"/>
      </w:r>
    </w:p>
    <w:p w14:paraId="7750D6A0" w14:textId="05A30863" w:rsidR="00581A5E" w:rsidRPr="00A618BE" w:rsidRDefault="00A73267" w:rsidP="00D0581F">
      <w:pPr>
        <w:pStyle w:val="ListParagraph"/>
        <w:numPr>
          <w:ilvl w:val="0"/>
          <w:numId w:val="19"/>
        </w:numPr>
        <w:spacing w:before="240" w:after="240"/>
      </w:pPr>
      <w:r>
        <w:t>u</w:t>
      </w:r>
      <w:r w:rsidR="00581A5E" w:rsidRPr="00A618BE">
        <w:t>ncertain legal status of</w:t>
      </w:r>
      <w:r w:rsidR="00581A5E">
        <w:t xml:space="preserve"> person experiencing</w:t>
      </w:r>
      <w:r w:rsidR="00581A5E" w:rsidRPr="00A618BE">
        <w:t xml:space="preserve"> coercion</w:t>
      </w:r>
      <w:r w:rsidR="00581A5E" w:rsidRPr="00A618BE">
        <w:rPr>
          <w:rStyle w:val="EndnoteReference"/>
        </w:rPr>
        <w:endnoteReference w:id="60"/>
      </w:r>
    </w:p>
    <w:p w14:paraId="7346BE18" w14:textId="68E0A914" w:rsidR="00581A5E" w:rsidRPr="00A618BE" w:rsidRDefault="00A73267" w:rsidP="00D0581F">
      <w:pPr>
        <w:pStyle w:val="ListParagraph"/>
        <w:numPr>
          <w:ilvl w:val="0"/>
          <w:numId w:val="19"/>
        </w:numPr>
        <w:spacing w:before="240" w:after="240"/>
      </w:pPr>
      <w:r>
        <w:t>s</w:t>
      </w:r>
      <w:r w:rsidR="00581A5E" w:rsidRPr="00A618BE">
        <w:t>tress and uncertainty of unemployment and lack of job security</w:t>
      </w:r>
      <w:r w:rsidR="00581A5E" w:rsidRPr="00A618BE">
        <w:rPr>
          <w:rStyle w:val="EndnoteReference"/>
        </w:rPr>
        <w:endnoteReference w:id="61"/>
      </w:r>
    </w:p>
    <w:p w14:paraId="7BF7963A" w14:textId="474E2FE8" w:rsidR="00581A5E" w:rsidRPr="00A618BE" w:rsidRDefault="00A73267" w:rsidP="00D0581F">
      <w:pPr>
        <w:pStyle w:val="ListParagraph"/>
        <w:numPr>
          <w:ilvl w:val="0"/>
          <w:numId w:val="19"/>
        </w:numPr>
        <w:spacing w:before="240" w:after="240"/>
      </w:pPr>
      <w:r>
        <w:t>l</w:t>
      </w:r>
      <w:r w:rsidR="00581A5E" w:rsidRPr="00A618BE">
        <w:t>ack of financial resources or access to resources</w:t>
      </w:r>
      <w:r w:rsidR="00581A5E" w:rsidRPr="00A618BE">
        <w:rPr>
          <w:rStyle w:val="EndnoteReference"/>
        </w:rPr>
        <w:endnoteReference w:id="62"/>
      </w:r>
    </w:p>
    <w:p w14:paraId="644B247B" w14:textId="543AF4AC" w:rsidR="00581A5E" w:rsidRPr="00A618BE" w:rsidRDefault="00A73267" w:rsidP="00D0581F">
      <w:pPr>
        <w:pStyle w:val="ListParagraph"/>
        <w:numPr>
          <w:ilvl w:val="0"/>
          <w:numId w:val="19"/>
        </w:numPr>
        <w:spacing w:before="240" w:after="240"/>
      </w:pPr>
      <w:r>
        <w:t>t</w:t>
      </w:r>
      <w:r w:rsidR="00581A5E" w:rsidRPr="00A618BE">
        <w:t>he impact of social isolation</w:t>
      </w:r>
      <w:r w:rsidR="00581A5E">
        <w:t>.</w:t>
      </w:r>
      <w:r w:rsidR="00581A5E" w:rsidRPr="00A618BE">
        <w:rPr>
          <w:rStyle w:val="EndnoteReference"/>
        </w:rPr>
        <w:endnoteReference w:id="63"/>
      </w:r>
      <w:r w:rsidR="00581A5E" w:rsidRPr="00A618BE">
        <w:t xml:space="preserve"> </w:t>
      </w:r>
      <w:r w:rsidR="00581A5E" w:rsidRPr="00A618BE">
        <w:rPr>
          <w:rStyle w:val="EndnoteReference"/>
        </w:rPr>
        <w:endnoteReference w:id="64"/>
      </w:r>
    </w:p>
    <w:p w14:paraId="31C374CD" w14:textId="1A099BED" w:rsidR="00581A5E" w:rsidRPr="00A73267" w:rsidRDefault="00581A5E" w:rsidP="00D0581F">
      <w:pPr>
        <w:rPr>
          <w:rStyle w:val="A8"/>
          <w:sz w:val="24"/>
          <w:szCs w:val="24"/>
        </w:rPr>
      </w:pPr>
      <w:r w:rsidRPr="00A73267">
        <w:rPr>
          <w:rStyle w:val="A8"/>
          <w:sz w:val="24"/>
          <w:szCs w:val="24"/>
        </w:rPr>
        <w:t xml:space="preserve">Recent research indicates that awareness of SV, assault and </w:t>
      </w:r>
      <w:r w:rsidR="0010198D" w:rsidRPr="00A73267">
        <w:rPr>
          <w:szCs w:val="24"/>
        </w:rPr>
        <w:t xml:space="preserve">reproductive coercion </w:t>
      </w:r>
      <w:r w:rsidRPr="00A73267">
        <w:rPr>
          <w:rStyle w:val="A8"/>
          <w:sz w:val="24"/>
          <w:szCs w:val="24"/>
        </w:rPr>
        <w:t>is increasing among some culturally and linguistically diverse communities, although the terminology used to describe phenomena can be confusing for community members.</w:t>
      </w:r>
      <w:r w:rsidRPr="00A73267">
        <w:rPr>
          <w:rStyle w:val="EndnoteReference"/>
          <w:color w:val="000000"/>
          <w:szCs w:val="24"/>
        </w:rPr>
        <w:endnoteReference w:id="65"/>
      </w:r>
      <w:r w:rsidRPr="00A73267">
        <w:rPr>
          <w:rStyle w:val="A8"/>
          <w:sz w:val="24"/>
          <w:szCs w:val="24"/>
        </w:rPr>
        <w:t xml:space="preserve"> For example, recent research exploring the issue of sexual coercion among young African women in Australia revealed that while many of the participants understood and could relate to the term ‘coercion’, the term ‘sexual violence’ was viewed as referring to sexual violence perpetrated by a stranger and not by an intimate relationship.</w:t>
      </w:r>
      <w:r w:rsidRPr="00A73267">
        <w:rPr>
          <w:rStyle w:val="EndnoteReference"/>
          <w:color w:val="000000"/>
          <w:szCs w:val="24"/>
        </w:rPr>
        <w:endnoteReference w:id="66"/>
      </w:r>
      <w:r w:rsidRPr="00A73267">
        <w:rPr>
          <w:rStyle w:val="A8"/>
          <w:sz w:val="24"/>
          <w:szCs w:val="24"/>
        </w:rPr>
        <w:t xml:space="preserve"> This study also found that controlling behaviours by an intimate partner was considered a normal part of marriage and romance and that study participants stay in coercive relationships in the hope that their partner will change. </w:t>
      </w:r>
    </w:p>
    <w:p w14:paraId="054ECC14" w14:textId="77777777" w:rsidR="00A73267" w:rsidRDefault="00581A5E" w:rsidP="00D0581F">
      <w:r w:rsidRPr="00A73267">
        <w:rPr>
          <w:rStyle w:val="A8"/>
          <w:sz w:val="24"/>
          <w:szCs w:val="24"/>
        </w:rPr>
        <w:t xml:space="preserve">Indeed, </w:t>
      </w:r>
      <w:r w:rsidRPr="00A73267">
        <w:rPr>
          <w:szCs w:val="24"/>
        </w:rPr>
        <w:t>the im</w:t>
      </w:r>
      <w:r w:rsidRPr="00A618BE">
        <w:t xml:space="preserve">portance of terminology is a recurring theme in the literature on </w:t>
      </w:r>
      <w:r w:rsidR="0010198D">
        <w:t>r</w:t>
      </w:r>
      <w:r w:rsidR="0010198D" w:rsidRPr="00A618BE">
        <w:t xml:space="preserve">eproductive </w:t>
      </w:r>
      <w:r w:rsidR="0010198D">
        <w:t>c</w:t>
      </w:r>
      <w:r w:rsidR="0010198D" w:rsidRPr="00A618BE">
        <w:t>oercion</w:t>
      </w:r>
      <w:r w:rsidR="0010198D">
        <w:t xml:space="preserve"> </w:t>
      </w:r>
      <w:r w:rsidRPr="00A618BE">
        <w:t xml:space="preserve">in </w:t>
      </w:r>
      <w:r w:rsidR="008222C7">
        <w:t>migrant and refugee</w:t>
      </w:r>
      <w:r w:rsidR="008222C7" w:rsidRPr="00A618BE">
        <w:t xml:space="preserve"> </w:t>
      </w:r>
      <w:r w:rsidRPr="00A618BE">
        <w:t>communities</w:t>
      </w:r>
      <w:r>
        <w:t>.</w:t>
      </w:r>
      <w:r w:rsidRPr="00A618BE">
        <w:rPr>
          <w:rStyle w:val="EndnoteReference"/>
        </w:rPr>
        <w:endnoteReference w:id="67"/>
      </w:r>
      <w:r w:rsidRPr="00A618BE">
        <w:t xml:space="preserve"> A review of the research conducted by Australia’s National Research Organisation on Women’s Safety (ANROWS) has revealed that communities have differing views as to what constitutes violence, abuse and coercion. </w:t>
      </w:r>
    </w:p>
    <w:p w14:paraId="3264A873" w14:textId="140E2EA1" w:rsidR="00581A5E" w:rsidRDefault="00A73267" w:rsidP="00D0581F">
      <w:r w:rsidRPr="00A73267">
        <w:rPr>
          <w:rStyle w:val="A8"/>
          <w:noProof/>
          <w:sz w:val="24"/>
          <w:lang w:eastAsia="en-AU"/>
        </w:rPr>
        <w:lastRenderedPageBreak/>
        <mc:AlternateContent>
          <mc:Choice Requires="wps">
            <w:drawing>
              <wp:anchor distT="45720" distB="45720" distL="114300" distR="114300" simplePos="0" relativeHeight="251685888" behindDoc="0" locked="0" layoutInCell="1" allowOverlap="1" wp14:anchorId="62452F74" wp14:editId="49344A7F">
                <wp:simplePos x="0" y="0"/>
                <wp:positionH relativeFrom="margin">
                  <wp:posOffset>-1270</wp:posOffset>
                </wp:positionH>
                <wp:positionV relativeFrom="paragraph">
                  <wp:posOffset>1270000</wp:posOffset>
                </wp:positionV>
                <wp:extent cx="5737860" cy="1404620"/>
                <wp:effectExtent l="0" t="0" r="0" b="82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404620"/>
                        </a:xfrm>
                        <a:prstGeom prst="rect">
                          <a:avLst/>
                        </a:prstGeom>
                        <a:solidFill>
                          <a:srgbClr val="9BAF91"/>
                        </a:solidFill>
                        <a:ln w="9525">
                          <a:noFill/>
                          <a:miter lim="800000"/>
                          <a:headEnd/>
                          <a:tailEnd/>
                        </a:ln>
                      </wps:spPr>
                      <wps:txbx>
                        <w:txbxContent>
                          <w:p w14:paraId="32FA0C2E" w14:textId="1CCC2693" w:rsidR="00D76477" w:rsidRPr="00A73267" w:rsidRDefault="00D76477">
                            <w:pPr>
                              <w:rPr>
                                <w:b/>
                                <w:bCs/>
                              </w:rPr>
                            </w:pPr>
                            <w:r w:rsidRPr="00A73267">
                              <w:rPr>
                                <w:b/>
                                <w:bCs/>
                              </w:rPr>
                              <w:t>Ideas about abusive or controlling behaviour being a sign of romantic love and the sanctity of marriage prevented young women from identifying their experiences as abusive and/or disclosing that abuse.</w:t>
                            </w:r>
                          </w:p>
                          <w:p w14:paraId="5EF0A2E0" w14:textId="3CADC085" w:rsidR="00D76477" w:rsidRPr="00A73267" w:rsidRDefault="00D76477">
                            <w:pPr>
                              <w:rPr>
                                <w:b/>
                                <w:bCs/>
                              </w:rPr>
                            </w:pPr>
                            <w:proofErr w:type="spellStart"/>
                            <w:r w:rsidRPr="00A73267">
                              <w:rPr>
                                <w:b/>
                                <w:bCs/>
                              </w:rPr>
                              <w:t>Vope</w:t>
                            </w:r>
                            <w:proofErr w:type="spellEnd"/>
                            <w:r w:rsidRPr="00A73267">
                              <w:rPr>
                                <w:b/>
                                <w:bCs/>
                              </w:rPr>
                              <w:t xml:space="preserve"> et al 2014; Chung 2005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52F74" id="_x0000_s1030" type="#_x0000_t202" style="position:absolute;margin-left:-.1pt;margin-top:100pt;width:451.8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" fillcolor="#9baf91" stroked="f">
                <v:textbox style="mso-fit-shape-to-text:t">
                  <w:txbxContent>
                    <w:p w14:paraId="32FA0C2E" w14:textId="1CCC2693" w:rsidR="00D76477" w:rsidRPr="00A73267" w:rsidRDefault="00D76477">
                      <w:pPr>
                        <w:rPr>
                          <w:b/>
                          <w:bCs/>
                        </w:rPr>
                      </w:pPr>
                      <w:r w:rsidRPr="00A73267">
                        <w:rPr>
                          <w:b/>
                          <w:bCs/>
                        </w:rPr>
                        <w:t>Ideas about abusive or controlling behaviour being a sign of romantic love and the sanctity of marriage prevented young women from identifying their experiences as abusive and/or disclosing that abuse.</w:t>
                      </w:r>
                    </w:p>
                    <w:p w14:paraId="5EF0A2E0" w14:textId="3CADC085" w:rsidR="00D76477" w:rsidRPr="00A73267" w:rsidRDefault="00D76477">
                      <w:pPr>
                        <w:rPr>
                          <w:b/>
                          <w:bCs/>
                        </w:rPr>
                      </w:pPr>
                      <w:proofErr w:type="spellStart"/>
                      <w:r w:rsidRPr="00A73267">
                        <w:rPr>
                          <w:b/>
                          <w:bCs/>
                        </w:rPr>
                        <w:t>Vope</w:t>
                      </w:r>
                      <w:proofErr w:type="spellEnd"/>
                      <w:r w:rsidRPr="00A73267">
                        <w:rPr>
                          <w:b/>
                          <w:bCs/>
                        </w:rPr>
                        <w:t xml:space="preserve"> et al 2014; Chung 2005</w:t>
                      </w:r>
                    </w:p>
                  </w:txbxContent>
                </v:textbox>
                <w10:wrap type="square" anchorx="margin"/>
              </v:shape>
            </w:pict>
          </mc:Fallback>
        </mc:AlternateContent>
      </w:r>
      <w:r w:rsidR="00581A5E" w:rsidRPr="00A618BE">
        <w:t xml:space="preserve">Controlling behaviours in one community may be defined as ‘normal’, yet in others they may be classified as </w:t>
      </w:r>
      <w:r w:rsidR="0010198D">
        <w:t>r</w:t>
      </w:r>
      <w:r w:rsidR="0010198D" w:rsidRPr="00A618BE">
        <w:t xml:space="preserve">eproductive </w:t>
      </w:r>
      <w:r w:rsidR="0010198D">
        <w:t>c</w:t>
      </w:r>
      <w:r w:rsidR="0010198D" w:rsidRPr="00A618BE">
        <w:t>oercion</w:t>
      </w:r>
      <w:r w:rsidR="0010198D">
        <w:t xml:space="preserve"> </w:t>
      </w:r>
      <w:r w:rsidR="00581A5E" w:rsidRPr="00A618BE">
        <w:t xml:space="preserve">or </w:t>
      </w:r>
      <w:r w:rsidR="00581A5E">
        <w:t>SV</w:t>
      </w:r>
      <w:r w:rsidR="00581A5E" w:rsidRPr="00A618BE">
        <w:t xml:space="preserve">. The diversity in interpretation of behaviours and conceptualisation of issues such as </w:t>
      </w:r>
      <w:r w:rsidR="0010198D">
        <w:t>r</w:t>
      </w:r>
      <w:r w:rsidR="0010198D" w:rsidRPr="00A618BE">
        <w:t xml:space="preserve">eproductive </w:t>
      </w:r>
      <w:r w:rsidR="0010198D">
        <w:t>c</w:t>
      </w:r>
      <w:r w:rsidR="0010198D" w:rsidRPr="00A618BE">
        <w:t>oercion</w:t>
      </w:r>
      <w:r w:rsidR="0010198D">
        <w:t xml:space="preserve"> </w:t>
      </w:r>
      <w:r w:rsidR="00581A5E" w:rsidRPr="00A618BE">
        <w:t xml:space="preserve">underscores the need for a richer understanding of the various attitudes and experiences of </w:t>
      </w:r>
      <w:r w:rsidR="0010198D">
        <w:t>r</w:t>
      </w:r>
      <w:r w:rsidR="0010198D" w:rsidRPr="00A618BE">
        <w:t xml:space="preserve">eproductive </w:t>
      </w:r>
      <w:r w:rsidR="0010198D">
        <w:t>c</w:t>
      </w:r>
      <w:r w:rsidR="0010198D" w:rsidRPr="00A618BE">
        <w:t>oercion</w:t>
      </w:r>
      <w:r w:rsidR="0010198D">
        <w:t xml:space="preserve"> </w:t>
      </w:r>
      <w:r w:rsidR="00581A5E" w:rsidRPr="00A618BE">
        <w:t xml:space="preserve">across diverse communities. </w:t>
      </w:r>
    </w:p>
    <w:p w14:paraId="50B775B4" w14:textId="67611FCF" w:rsidR="00A73267" w:rsidRDefault="00A73267" w:rsidP="00D0581F">
      <w:pPr>
        <w:rPr>
          <w:rStyle w:val="A8"/>
          <w:sz w:val="24"/>
        </w:rPr>
      </w:pPr>
    </w:p>
    <w:p w14:paraId="71ABB2BE" w14:textId="3F8C9572" w:rsidR="00581A5E" w:rsidRPr="00A618BE" w:rsidRDefault="00581A5E" w:rsidP="00D0581F">
      <w:r w:rsidRPr="00A618BE">
        <w:t xml:space="preserve">For migrant and refugee communities in Australia, pre-immigration factors are also likely drivers and enablers of </w:t>
      </w:r>
      <w:r w:rsidR="0010198D">
        <w:t>r</w:t>
      </w:r>
      <w:r w:rsidR="0010198D" w:rsidRPr="00A618BE">
        <w:t xml:space="preserve">eproductive </w:t>
      </w:r>
      <w:r w:rsidR="0010198D">
        <w:t>c</w:t>
      </w:r>
      <w:r w:rsidR="0010198D" w:rsidRPr="00A618BE">
        <w:t>oercion</w:t>
      </w:r>
      <w:r w:rsidRPr="00A618BE">
        <w:t xml:space="preserve">, including trauma experienced by both perpetrators and victims of </w:t>
      </w:r>
      <w:r w:rsidR="0010198D">
        <w:t>r</w:t>
      </w:r>
      <w:r w:rsidR="0010198D" w:rsidRPr="00A618BE">
        <w:t xml:space="preserve">eproductive </w:t>
      </w:r>
      <w:r w:rsidR="0010198D">
        <w:t>c</w:t>
      </w:r>
      <w:r w:rsidR="0010198D" w:rsidRPr="00A618BE">
        <w:t>oercion</w:t>
      </w:r>
      <w:r>
        <w:t>.</w:t>
      </w:r>
      <w:r w:rsidRPr="00A618BE">
        <w:rPr>
          <w:rStyle w:val="EndnoteReference"/>
        </w:rPr>
        <w:endnoteReference w:id="68"/>
      </w:r>
      <w:r w:rsidRPr="00A618BE">
        <w:t xml:space="preserve"> Research suggests that experiences of pre-migration trauma, particularly exposure to violence, combined with patriarchal power structures and certain gender norms are likely to drive coercive or controlling behaviour by </w:t>
      </w:r>
      <w:r>
        <w:t xml:space="preserve">the </w:t>
      </w:r>
      <w:r w:rsidRPr="00A618BE">
        <w:t>perpetrator</w:t>
      </w:r>
      <w:r>
        <w:t>.</w:t>
      </w:r>
      <w:r w:rsidRPr="00A618BE">
        <w:rPr>
          <w:rStyle w:val="EndnoteReference"/>
        </w:rPr>
        <w:endnoteReference w:id="69"/>
      </w:r>
    </w:p>
    <w:p w14:paraId="62F52360" w14:textId="14E9A6B9" w:rsidR="00A73267" w:rsidRDefault="00581A5E" w:rsidP="00D0581F">
      <w:r w:rsidRPr="00A618BE">
        <w:t xml:space="preserve">Structural issues such as Australia’s visa policy restrictions also provide an important context within which to explore </w:t>
      </w:r>
      <w:r w:rsidR="0010198D">
        <w:t>r</w:t>
      </w:r>
      <w:r w:rsidR="0010198D" w:rsidRPr="00A618BE">
        <w:t xml:space="preserve">eproductive </w:t>
      </w:r>
      <w:r w:rsidR="0010198D">
        <w:t>c</w:t>
      </w:r>
      <w:r w:rsidR="0010198D" w:rsidRPr="00A618BE">
        <w:t>oercion</w:t>
      </w:r>
      <w:r w:rsidR="0010198D">
        <w:t xml:space="preserve"> </w:t>
      </w:r>
      <w:r w:rsidRPr="00A618BE">
        <w:t xml:space="preserve">among </w:t>
      </w:r>
      <w:r w:rsidR="008222C7">
        <w:t>migrant and refugee</w:t>
      </w:r>
      <w:r w:rsidR="008222C7" w:rsidRPr="00A618BE">
        <w:t xml:space="preserve"> </w:t>
      </w:r>
      <w:r w:rsidRPr="00A618BE">
        <w:t>communities, particularly refugee and recently arrived migrant communities. For example, women who arrive in Australia under a Temporary Protection Visa (TPV) or Safe Haven</w:t>
      </w:r>
      <w:r w:rsidR="005E4DBD">
        <w:t xml:space="preserve"> Enterprise</w:t>
      </w:r>
      <w:r w:rsidRPr="00A618BE">
        <w:t xml:space="preserve"> </w:t>
      </w:r>
      <w:r w:rsidR="005E4DBD">
        <w:t>v</w:t>
      </w:r>
      <w:r w:rsidRPr="00A618BE">
        <w:t>isa (SH</w:t>
      </w:r>
      <w:r w:rsidR="005E4DBD">
        <w:t>E</w:t>
      </w:r>
      <w:r w:rsidRPr="00A618BE">
        <w:t xml:space="preserve">V) are not able to access support services including health services such as contraception, maternal </w:t>
      </w:r>
      <w:proofErr w:type="gramStart"/>
      <w:r w:rsidRPr="00A618BE">
        <w:t>health</w:t>
      </w:r>
      <w:proofErr w:type="gramEnd"/>
      <w:r w:rsidRPr="00A618BE">
        <w:t xml:space="preserve"> and abortion services. A lack of knowledge of Australian laws and available support services can also play a role in the experience of refugee and migrant communities which effectively denies individuals access to the law and sources of support and treatment. Women on TPVs may therefore be forced to remain in a controlling and/or abusive relationships</w:t>
      </w:r>
      <w:r>
        <w:t>.</w:t>
      </w:r>
      <w:r w:rsidRPr="00A618BE">
        <w:rPr>
          <w:rStyle w:val="EndnoteReference"/>
        </w:rPr>
        <w:endnoteReference w:id="70"/>
      </w:r>
      <w:r w:rsidRPr="00A618BE">
        <w:t xml:space="preserve"> </w:t>
      </w:r>
    </w:p>
    <w:p w14:paraId="62ADCA6A" w14:textId="77777777" w:rsidR="00A73267" w:rsidRDefault="00A73267">
      <w:pPr>
        <w:spacing w:after="160" w:line="259" w:lineRule="auto"/>
      </w:pPr>
      <w:r>
        <w:br w:type="page"/>
      </w:r>
    </w:p>
    <w:p w14:paraId="13328A20" w14:textId="77777777" w:rsidR="00581A5E" w:rsidRPr="00A618BE" w:rsidRDefault="00581A5E" w:rsidP="00D0581F"/>
    <w:tbl>
      <w:tblPr>
        <w:tblStyle w:val="LightList"/>
        <w:tblW w:w="0" w:type="auto"/>
        <w:tblBorders>
          <w:top w:val="none" w:sz="0" w:space="0" w:color="auto"/>
          <w:left w:val="none" w:sz="0" w:space="0" w:color="auto"/>
          <w:bottom w:val="none" w:sz="0" w:space="0" w:color="auto"/>
          <w:right w:val="none" w:sz="0" w:space="0" w:color="auto"/>
        </w:tblBorders>
        <w:shd w:val="clear" w:color="auto" w:fill="9BAF91"/>
        <w:tblLook w:val="04A0" w:firstRow="1" w:lastRow="0" w:firstColumn="1" w:lastColumn="0" w:noHBand="0" w:noVBand="1"/>
      </w:tblPr>
      <w:tblGrid>
        <w:gridCol w:w="9070"/>
      </w:tblGrid>
      <w:tr w:rsidR="00581A5E" w:rsidRPr="00A618BE" w14:paraId="107065FE" w14:textId="77777777" w:rsidTr="00A73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1" w:type="dxa"/>
            <w:shd w:val="clear" w:color="auto" w:fill="9BAF91"/>
          </w:tcPr>
          <w:p w14:paraId="715AF98E" w14:textId="77777777" w:rsidR="00581A5E" w:rsidRPr="007901DB" w:rsidRDefault="00581A5E" w:rsidP="00D0581F">
            <w:pPr>
              <w:rPr>
                <w:color w:val="auto"/>
              </w:rPr>
            </w:pPr>
            <w:proofErr w:type="spellStart"/>
            <w:r w:rsidRPr="007901DB">
              <w:rPr>
                <w:color w:val="auto"/>
              </w:rPr>
              <w:t>Athieng</w:t>
            </w:r>
            <w:proofErr w:type="spellEnd"/>
            <w:r w:rsidRPr="007901DB">
              <w:rPr>
                <w:color w:val="auto"/>
              </w:rPr>
              <w:t xml:space="preserve">* came to Australia from Sudan with her husband and two children three years ago. Her husband was </w:t>
            </w:r>
            <w:proofErr w:type="gramStart"/>
            <w:r w:rsidRPr="007901DB">
              <w:rPr>
                <w:color w:val="auto"/>
              </w:rPr>
              <w:t>violent</w:t>
            </w:r>
            <w:proofErr w:type="gramEnd"/>
            <w:r w:rsidRPr="007901DB">
              <w:rPr>
                <w:color w:val="auto"/>
              </w:rPr>
              <w:t xml:space="preserve"> and she made the difficult and complicated decision to leave him. Weeks after leaving her husband, </w:t>
            </w:r>
            <w:proofErr w:type="spellStart"/>
            <w:r w:rsidRPr="007901DB">
              <w:rPr>
                <w:color w:val="auto"/>
              </w:rPr>
              <w:t>Athieng</w:t>
            </w:r>
            <w:proofErr w:type="spellEnd"/>
            <w:r w:rsidRPr="007901DB">
              <w:rPr>
                <w:color w:val="auto"/>
              </w:rPr>
              <w:t xml:space="preserve">, living with her two children in a small rural town in Northern Australia, discovered she was pregnant. She could not have the child as she was already struggling financially and emotionally. When </w:t>
            </w:r>
            <w:proofErr w:type="spellStart"/>
            <w:r w:rsidRPr="007901DB">
              <w:rPr>
                <w:color w:val="auto"/>
              </w:rPr>
              <w:t>Athieng</w:t>
            </w:r>
            <w:proofErr w:type="spellEnd"/>
            <w:r w:rsidRPr="007901DB">
              <w:rPr>
                <w:color w:val="auto"/>
              </w:rPr>
              <w:t xml:space="preserve"> went to a doctor to ask for a termination she was told by the doctor that abortion was illegal across Australia. </w:t>
            </w:r>
            <w:proofErr w:type="spellStart"/>
            <w:r w:rsidRPr="007901DB">
              <w:rPr>
                <w:color w:val="auto"/>
              </w:rPr>
              <w:t>Athieng</w:t>
            </w:r>
            <w:proofErr w:type="spellEnd"/>
            <w:r w:rsidRPr="007901DB">
              <w:rPr>
                <w:color w:val="auto"/>
              </w:rPr>
              <w:t xml:space="preserve"> felt trapped. It was only after several weeks that </w:t>
            </w:r>
            <w:proofErr w:type="spellStart"/>
            <w:r w:rsidRPr="007901DB">
              <w:rPr>
                <w:color w:val="auto"/>
              </w:rPr>
              <w:t>Athieng</w:t>
            </w:r>
            <w:proofErr w:type="spellEnd"/>
            <w:r w:rsidRPr="007901DB">
              <w:rPr>
                <w:color w:val="auto"/>
              </w:rPr>
              <w:t xml:space="preserve"> was told by a women’s health advocate that she could legally access an abortion in Australia. By that stage </w:t>
            </w:r>
            <w:proofErr w:type="spellStart"/>
            <w:r w:rsidRPr="007901DB">
              <w:rPr>
                <w:color w:val="auto"/>
              </w:rPr>
              <w:t>Athieng’s</w:t>
            </w:r>
            <w:proofErr w:type="spellEnd"/>
            <w:r w:rsidRPr="007901DB">
              <w:rPr>
                <w:color w:val="auto"/>
              </w:rPr>
              <w:t xml:space="preserve"> gestation was beyond the legal gestation limit for a termination where she lived. Through support from the Marie Stopes Australia Choice Fund and other women’s health organisations </w:t>
            </w:r>
            <w:proofErr w:type="spellStart"/>
            <w:r w:rsidRPr="007901DB">
              <w:rPr>
                <w:color w:val="auto"/>
              </w:rPr>
              <w:t>Athieng</w:t>
            </w:r>
            <w:proofErr w:type="spellEnd"/>
            <w:r w:rsidRPr="007901DB">
              <w:rPr>
                <w:color w:val="auto"/>
              </w:rPr>
              <w:t xml:space="preserve"> was supported to access an abortion in Victoria. </w:t>
            </w:r>
          </w:p>
          <w:p w14:paraId="4A24BB11" w14:textId="77777777" w:rsidR="00581A5E" w:rsidRPr="007901DB" w:rsidRDefault="00581A5E" w:rsidP="00D0581F">
            <w:pPr>
              <w:rPr>
                <w:b w:val="0"/>
                <w:color w:val="auto"/>
              </w:rPr>
            </w:pPr>
            <w:r w:rsidRPr="007901DB">
              <w:rPr>
                <w:color w:val="auto"/>
              </w:rPr>
              <w:t>Case study from Marie Stopes Australia Choice Fund 2017</w:t>
            </w:r>
          </w:p>
          <w:p w14:paraId="7E294607" w14:textId="77777777" w:rsidR="00581A5E" w:rsidRPr="00A45079" w:rsidRDefault="00581A5E" w:rsidP="00D0581F">
            <w:r w:rsidRPr="007901DB">
              <w:rPr>
                <w:color w:val="auto"/>
              </w:rPr>
              <w:t>*Name has been changed for privacy</w:t>
            </w:r>
          </w:p>
        </w:tc>
      </w:tr>
    </w:tbl>
    <w:p w14:paraId="75240DDA" w14:textId="77777777" w:rsidR="007901DB" w:rsidRDefault="007901DB" w:rsidP="00D0581F"/>
    <w:p w14:paraId="43058708" w14:textId="137FD633" w:rsidR="00581A5E" w:rsidRPr="00A618BE" w:rsidRDefault="00581A5E" w:rsidP="00D0581F">
      <w:r>
        <w:t>T</w:t>
      </w:r>
      <w:r w:rsidRPr="00A618BE">
        <w:t xml:space="preserve">here are many interpersonal (particularly familial) and structural (including cultural) factors that interfere with the autonomous reproductive health decision-making of people from </w:t>
      </w:r>
      <w:r w:rsidR="008222C7">
        <w:t>migrant and refugee</w:t>
      </w:r>
      <w:r w:rsidR="008222C7" w:rsidRPr="00A618BE">
        <w:t xml:space="preserve"> </w:t>
      </w:r>
      <w:r w:rsidRPr="00A618BE">
        <w:t>communities that require further exploration. For community members who have migrated to Australia, these include the influence of visa restrictions, legal complexities of citizenship and the external stressors of the immigration experience, and how these complexities can be exploited by perpetrators of coercion or violence to intimidate their partners into remaining silent</w:t>
      </w:r>
      <w:r>
        <w:t>.</w:t>
      </w:r>
      <w:r w:rsidRPr="00A618BE">
        <w:rPr>
          <w:rStyle w:val="EndnoteReference"/>
        </w:rPr>
        <w:endnoteReference w:id="71"/>
      </w:r>
      <w:r w:rsidRPr="00A618BE">
        <w:t xml:space="preserve"> As with other community groups, it is important that these drivers are explored in the context of various lived experiences of </w:t>
      </w:r>
      <w:r w:rsidR="0010198D">
        <w:t>r</w:t>
      </w:r>
      <w:r w:rsidR="0010198D" w:rsidRPr="00A618BE">
        <w:t xml:space="preserve">eproductive </w:t>
      </w:r>
      <w:r w:rsidR="0010198D">
        <w:t>c</w:t>
      </w:r>
      <w:r w:rsidR="0010198D" w:rsidRPr="00A618BE">
        <w:t>oercion</w:t>
      </w:r>
      <w:r w:rsidR="0010198D">
        <w:t xml:space="preserve"> </w:t>
      </w:r>
      <w:r w:rsidRPr="00A618BE">
        <w:t>so that nuanced, culturally respectful and appropriate intervention, response and prevention initiatives can be mounted.</w:t>
      </w:r>
    </w:p>
    <w:p w14:paraId="461A1BDE" w14:textId="4F6E0697" w:rsidR="00581A5E" w:rsidRPr="00BE4A29" w:rsidRDefault="00581A5E" w:rsidP="00D0581F">
      <w:pPr>
        <w:rPr>
          <w:b/>
        </w:rPr>
      </w:pPr>
      <w:bookmarkStart w:id="114" w:name="_Toc530573363"/>
      <w:r w:rsidRPr="00BE4A29">
        <w:rPr>
          <w:b/>
        </w:rPr>
        <w:t xml:space="preserve">People with </w:t>
      </w:r>
      <w:r w:rsidR="0010198D">
        <w:rPr>
          <w:b/>
        </w:rPr>
        <w:t>d</w:t>
      </w:r>
      <w:r w:rsidRPr="00BE4A29">
        <w:rPr>
          <w:b/>
        </w:rPr>
        <w:t>isability</w:t>
      </w:r>
      <w:bookmarkEnd w:id="114"/>
    </w:p>
    <w:p w14:paraId="72ABE4F1" w14:textId="1B96CC10" w:rsidR="00581A5E" w:rsidRPr="00A618BE" w:rsidRDefault="00581A5E" w:rsidP="00D0581F">
      <w:r w:rsidRPr="00A618BE">
        <w:t xml:space="preserve">According to the </w:t>
      </w:r>
      <w:r w:rsidR="00A73267">
        <w:t>ABS</w:t>
      </w:r>
      <w:r w:rsidRPr="00A618BE">
        <w:t xml:space="preserve"> </w:t>
      </w:r>
      <w:r w:rsidRPr="00BE4A29">
        <w:t>2015 Survey of Disability, Ageing and Carers</w:t>
      </w:r>
      <w:r w:rsidRPr="00A618BE">
        <w:t xml:space="preserve">, 18.3% of the Australian population have a disability.  However, very little data exists on the experiences and prevalence of sexual assault and </w:t>
      </w:r>
      <w:r w:rsidR="0010198D">
        <w:t>r</w:t>
      </w:r>
      <w:r w:rsidR="0010198D" w:rsidRPr="00A618BE">
        <w:t xml:space="preserve">eproductive </w:t>
      </w:r>
      <w:r w:rsidR="0010198D">
        <w:t>c</w:t>
      </w:r>
      <w:r w:rsidR="0010198D" w:rsidRPr="00A618BE">
        <w:t>oercion</w:t>
      </w:r>
      <w:r w:rsidR="0010198D">
        <w:t xml:space="preserve"> </w:t>
      </w:r>
      <w:r w:rsidRPr="00A618BE">
        <w:t>of people with disability</w:t>
      </w:r>
      <w:r>
        <w:t>.</w:t>
      </w:r>
      <w:r w:rsidRPr="00A618BE">
        <w:rPr>
          <w:rStyle w:val="EndnoteReference"/>
        </w:rPr>
        <w:endnoteReference w:id="72"/>
      </w:r>
    </w:p>
    <w:p w14:paraId="477AF4D3" w14:textId="65109DFB" w:rsidR="00581A5E" w:rsidRPr="00A618BE" w:rsidRDefault="00581A5E" w:rsidP="00D0581F">
      <w:r w:rsidRPr="00A618BE">
        <w:t xml:space="preserve">Many of the submissions in both consultation phases of the </w:t>
      </w:r>
      <w:r w:rsidR="0010198D">
        <w:t>w</w:t>
      </w:r>
      <w:r w:rsidRPr="00A618BE">
        <w:t xml:space="preserve">hite </w:t>
      </w:r>
      <w:r w:rsidR="0010198D">
        <w:t>p</w:t>
      </w:r>
      <w:r w:rsidRPr="00A618BE">
        <w:t xml:space="preserve">aper reinforced that people with a disability have an equal right to a healthy sexual and reproductive life as people without a disability. However, their ability to make decisions about their reproductive health is, to varying degrees, impacted by a range of interpersonal and structural forces. </w:t>
      </w:r>
    </w:p>
    <w:p w14:paraId="02948472" w14:textId="77777777" w:rsidR="00717FE7" w:rsidRDefault="00581A5E" w:rsidP="00D0581F">
      <w:proofErr w:type="gramStart"/>
      <w:r w:rsidRPr="00A618BE">
        <w:t>All of</w:t>
      </w:r>
      <w:proofErr w:type="gramEnd"/>
      <w:r w:rsidRPr="00A618BE">
        <w:t xml:space="preserve"> the submissions that discussed the issues for people with disability highlighted the importance of inclusions of people with a disability in decisions about their own reproductive and sexual health. </w:t>
      </w:r>
    </w:p>
    <w:p w14:paraId="530F257B" w14:textId="16A9A909" w:rsidR="00581A5E" w:rsidRPr="00A618BE" w:rsidRDefault="00581A5E" w:rsidP="00D0581F">
      <w:r w:rsidRPr="00A618BE">
        <w:lastRenderedPageBreak/>
        <w:t xml:space="preserve">On an interpersonal level, parents, </w:t>
      </w:r>
      <w:proofErr w:type="gramStart"/>
      <w:r w:rsidRPr="00A618BE">
        <w:t>carers</w:t>
      </w:r>
      <w:proofErr w:type="gramEnd"/>
      <w:r w:rsidRPr="00A618BE">
        <w:t xml:space="preserve"> and guardians have a critical role to play in supported decision-making. Interplay between the roles of guardians, carers and parents and varying guardianship laws across Australia can often create overt or subtle coercion on the reproductive decision-making of people with a disability</w:t>
      </w:r>
      <w:r>
        <w:t>.</w:t>
      </w:r>
      <w:r w:rsidRPr="00A618BE">
        <w:rPr>
          <w:rStyle w:val="EndnoteReference"/>
        </w:rPr>
        <w:endnoteReference w:id="73"/>
      </w:r>
      <w:r w:rsidRPr="00A618BE">
        <w:t xml:space="preserve"> Much of the legislation regarding decision-making in Australian states and territories is based on substitution of decision-maker rather supporting the person with a disability as decision-maker. However, there are </w:t>
      </w:r>
      <w:proofErr w:type="gramStart"/>
      <w:r w:rsidRPr="00A618BE">
        <w:t>a number of</w:t>
      </w:r>
      <w:proofErr w:type="gramEnd"/>
      <w:r w:rsidRPr="00A618BE">
        <w:t xml:space="preserve"> best practice examples from health jurisdictions across Australia that seeks to put the person with a disability at the centre of reproductive decision-making. </w:t>
      </w:r>
      <w:r w:rsidR="0010198D" w:rsidRPr="00A618BE">
        <w:t>S</w:t>
      </w:r>
      <w:r w:rsidR="0010198D">
        <w:t>HINE</w:t>
      </w:r>
      <w:r w:rsidR="0010198D" w:rsidRPr="00A618BE">
        <w:t xml:space="preserve"> </w:t>
      </w:r>
      <w:r w:rsidRPr="00A618BE">
        <w:t xml:space="preserve">SA has developed a useful analysis of programs and initiatives </w:t>
      </w:r>
      <w:r>
        <w:t>that seek to help people with a disability exercise decision-making about their sexual and reproductive health and rights.</w:t>
      </w:r>
      <w:r w:rsidRPr="00A618BE">
        <w:rPr>
          <w:rStyle w:val="EndnoteReference"/>
        </w:rPr>
        <w:endnoteReference w:id="74"/>
      </w:r>
    </w:p>
    <w:p w14:paraId="071DCFEE" w14:textId="77777777" w:rsidR="00581A5E" w:rsidRPr="00A618BE" w:rsidRDefault="00581A5E" w:rsidP="00D0581F">
      <w:r w:rsidRPr="00A618BE">
        <w:t xml:space="preserve">The interplay between the interpersonal and structural forces that impact on the reproductive health decisions of people with a disability was explored in depth in the </w:t>
      </w:r>
      <w:r w:rsidRPr="00BE4A29">
        <w:t>2013 Australian Senate Inquiry into the Involuntary or Coerced Sterilisation of People with Disabilities in Australia</w:t>
      </w:r>
      <w:r w:rsidRPr="00A618BE">
        <w:t>. Submissions to the Inquiry documented numerous stories of coercion in relation to contraception and sterilisation, frequently without informed consent and including instances where decisions about the person’s reproductive health was made by a third party, such as a family member or foster carer</w:t>
      </w:r>
      <w:r>
        <w:t>.</w:t>
      </w:r>
      <w:r w:rsidRPr="00A618BE">
        <w:rPr>
          <w:rStyle w:val="EndnoteReference"/>
        </w:rPr>
        <w:endnoteReference w:id="75"/>
      </w:r>
    </w:p>
    <w:p w14:paraId="1DBE94AF" w14:textId="3A05D6B4" w:rsidR="00581A5E" w:rsidRDefault="00581A5E" w:rsidP="00D0581F">
      <w:r w:rsidRPr="00A618BE">
        <w:t xml:space="preserve">The Inquiry explored multiple examples of </w:t>
      </w:r>
      <w:r w:rsidR="0010198D">
        <w:t>r</w:t>
      </w:r>
      <w:r w:rsidR="0010198D" w:rsidRPr="00A618BE">
        <w:t xml:space="preserve">eproductive </w:t>
      </w:r>
      <w:r w:rsidR="0010198D">
        <w:t>c</w:t>
      </w:r>
      <w:r w:rsidR="0010198D" w:rsidRPr="00A618BE">
        <w:t>oercion</w:t>
      </w:r>
      <w:r w:rsidR="0010198D">
        <w:t xml:space="preserve"> </w:t>
      </w:r>
      <w:r w:rsidRPr="00A618BE">
        <w:t xml:space="preserve">and the interpersonal and structural forces that interfere with the reproductive health decision-making of people with </w:t>
      </w:r>
      <w:r w:rsidR="0010198D">
        <w:t>disability</w:t>
      </w:r>
      <w:r w:rsidR="0010198D" w:rsidRPr="00A618BE">
        <w:t xml:space="preserve"> </w:t>
      </w:r>
      <w:r w:rsidRPr="00A618BE">
        <w:t xml:space="preserve">in Australia. </w:t>
      </w:r>
    </w:p>
    <w:p w14:paraId="335AD265" w14:textId="77777777" w:rsidR="00581A5E" w:rsidRPr="00A618BE" w:rsidRDefault="00581A5E" w:rsidP="00D0581F">
      <w:r w:rsidRPr="00A618BE">
        <w:t>For example:</w:t>
      </w:r>
    </w:p>
    <w:p w14:paraId="3E4637D8" w14:textId="014A3CDC" w:rsidR="00581A5E" w:rsidRPr="00A618BE" w:rsidRDefault="00717FE7" w:rsidP="00D0581F">
      <w:pPr>
        <w:pStyle w:val="ListParagraph"/>
        <w:numPr>
          <w:ilvl w:val="0"/>
          <w:numId w:val="20"/>
        </w:numPr>
        <w:spacing w:before="240" w:after="240"/>
      </w:pPr>
      <w:r>
        <w:t>f</w:t>
      </w:r>
      <w:r w:rsidR="00581A5E" w:rsidRPr="00A618BE">
        <w:t>orced and/ or coerced sterilisation</w:t>
      </w:r>
    </w:p>
    <w:p w14:paraId="26D93A6E" w14:textId="180D85DD" w:rsidR="00581A5E" w:rsidRPr="00A618BE" w:rsidRDefault="00717FE7" w:rsidP="00D0581F">
      <w:pPr>
        <w:pStyle w:val="ListParagraph"/>
        <w:numPr>
          <w:ilvl w:val="0"/>
          <w:numId w:val="20"/>
        </w:numPr>
        <w:spacing w:before="240" w:after="240"/>
      </w:pPr>
      <w:r>
        <w:t>f</w:t>
      </w:r>
      <w:r w:rsidR="00581A5E" w:rsidRPr="00A618BE">
        <w:t>orced contraception and menstrual suppression</w:t>
      </w:r>
    </w:p>
    <w:p w14:paraId="76A34315" w14:textId="59D51CC4" w:rsidR="00581A5E" w:rsidRPr="00A618BE" w:rsidRDefault="00717FE7" w:rsidP="00D0581F">
      <w:pPr>
        <w:pStyle w:val="ListParagraph"/>
        <w:numPr>
          <w:ilvl w:val="0"/>
          <w:numId w:val="20"/>
        </w:numPr>
        <w:spacing w:before="240" w:after="240"/>
      </w:pPr>
      <w:r>
        <w:t>g</w:t>
      </w:r>
      <w:r w:rsidR="00581A5E" w:rsidRPr="00A618BE">
        <w:t>ender-based violence that disproportionately affects women with disabilities</w:t>
      </w:r>
    </w:p>
    <w:p w14:paraId="70517483" w14:textId="5FBD7A5C" w:rsidR="00581A5E" w:rsidRPr="00A618BE" w:rsidRDefault="00717FE7" w:rsidP="00D0581F">
      <w:pPr>
        <w:pStyle w:val="ListParagraph"/>
        <w:numPr>
          <w:ilvl w:val="0"/>
          <w:numId w:val="20"/>
        </w:numPr>
        <w:spacing w:before="240" w:after="240"/>
      </w:pPr>
      <w:r>
        <w:t>d</w:t>
      </w:r>
      <w:r w:rsidR="00581A5E" w:rsidRPr="00A618BE">
        <w:t xml:space="preserve">enial of maternity, </w:t>
      </w:r>
      <w:proofErr w:type="gramStart"/>
      <w:r w:rsidR="00581A5E" w:rsidRPr="00A618BE">
        <w:t>parenting</w:t>
      </w:r>
      <w:proofErr w:type="gramEnd"/>
      <w:r w:rsidR="00581A5E" w:rsidRPr="00A618BE">
        <w:t xml:space="preserve"> and parental rights</w:t>
      </w:r>
    </w:p>
    <w:p w14:paraId="7FEFB767" w14:textId="030BF3D7" w:rsidR="00581A5E" w:rsidRPr="00A618BE" w:rsidRDefault="00717FE7" w:rsidP="00D0581F">
      <w:pPr>
        <w:pStyle w:val="ListParagraph"/>
        <w:numPr>
          <w:ilvl w:val="0"/>
          <w:numId w:val="20"/>
        </w:numPr>
        <w:spacing w:before="240" w:after="240"/>
      </w:pPr>
      <w:r>
        <w:t>d</w:t>
      </w:r>
      <w:r w:rsidR="00581A5E" w:rsidRPr="00A618BE">
        <w:t>enial of legal capacity and decision-making</w:t>
      </w:r>
    </w:p>
    <w:p w14:paraId="2A5BE753" w14:textId="7C963F77" w:rsidR="00581A5E" w:rsidRPr="00A618BE" w:rsidRDefault="00717FE7" w:rsidP="00D0581F">
      <w:pPr>
        <w:pStyle w:val="ListParagraph"/>
        <w:numPr>
          <w:ilvl w:val="0"/>
          <w:numId w:val="20"/>
        </w:numPr>
        <w:spacing w:before="240" w:after="240"/>
      </w:pPr>
      <w:r>
        <w:t>l</w:t>
      </w:r>
      <w:r w:rsidR="00581A5E" w:rsidRPr="00A618BE">
        <w:t>ack of access to sexual and reproductive health services and programs</w:t>
      </w:r>
    </w:p>
    <w:p w14:paraId="22C62D33" w14:textId="2B0DB990" w:rsidR="00581A5E" w:rsidRPr="00A618BE" w:rsidRDefault="00717FE7" w:rsidP="00D0581F">
      <w:pPr>
        <w:pStyle w:val="ListParagraph"/>
        <w:numPr>
          <w:ilvl w:val="0"/>
          <w:numId w:val="20"/>
        </w:numPr>
        <w:spacing w:before="240" w:after="240"/>
      </w:pPr>
      <w:r>
        <w:t>l</w:t>
      </w:r>
      <w:r w:rsidR="00581A5E" w:rsidRPr="00A618BE">
        <w:t>ack of access to education on sexual and reproductive health rights</w:t>
      </w:r>
    </w:p>
    <w:p w14:paraId="27C0D366" w14:textId="253870C0" w:rsidR="00581A5E" w:rsidRPr="00A618BE" w:rsidRDefault="00717FE7" w:rsidP="00D0581F">
      <w:pPr>
        <w:pStyle w:val="ListParagraph"/>
        <w:numPr>
          <w:ilvl w:val="0"/>
          <w:numId w:val="20"/>
        </w:numPr>
        <w:spacing w:before="240" w:after="240"/>
      </w:pPr>
      <w:r>
        <w:t>l</w:t>
      </w:r>
      <w:r w:rsidR="00581A5E" w:rsidRPr="00A618BE">
        <w:t>ack of access to the justice system</w:t>
      </w:r>
      <w:r w:rsidR="00581A5E">
        <w:t>.</w:t>
      </w:r>
      <w:r w:rsidR="00581A5E" w:rsidRPr="00A618BE">
        <w:rPr>
          <w:rStyle w:val="EndnoteReference"/>
        </w:rPr>
        <w:endnoteReference w:id="76"/>
      </w:r>
    </w:p>
    <w:p w14:paraId="2B7AA9AD" w14:textId="77777777" w:rsidR="00581A5E" w:rsidRPr="00A618BE" w:rsidRDefault="00581A5E" w:rsidP="00D0581F">
      <w:r w:rsidRPr="00A618BE">
        <w:t xml:space="preserve">Unfortunately, recommendations from the </w:t>
      </w:r>
      <w:r w:rsidRPr="00BE4A29">
        <w:t>2013 Senate Inquiry</w:t>
      </w:r>
      <w:r>
        <w:rPr>
          <w:i/>
        </w:rPr>
        <w:t xml:space="preserve"> </w:t>
      </w:r>
      <w:r>
        <w:t>that included State and Territory legislation change, medical workforce training and the adoption of uniform protection laws for people with a disability,</w:t>
      </w:r>
      <w:r w:rsidRPr="00A618BE">
        <w:t xml:space="preserve"> have not </w:t>
      </w:r>
      <w:r>
        <w:t xml:space="preserve">been </w:t>
      </w:r>
      <w:r w:rsidRPr="00A618BE">
        <w:t>implemented.  The UN Committee on the Elimination of Discrimination Against Women (CEDAW) has also recommended that Australia should abolish forced and coerced sterilisation of women and girls with disability, and people with intersex characteristics</w:t>
      </w:r>
      <w:r>
        <w:t>.</w:t>
      </w:r>
      <w:r w:rsidRPr="00A618BE">
        <w:rPr>
          <w:rStyle w:val="EndnoteReference"/>
        </w:rPr>
        <w:endnoteReference w:id="77"/>
      </w:r>
    </w:p>
    <w:p w14:paraId="557DCFB7" w14:textId="77777777" w:rsidR="00717FE7" w:rsidRDefault="00717FE7">
      <w:pPr>
        <w:spacing w:after="160" w:line="259" w:lineRule="auto"/>
        <w:rPr>
          <w:rFonts w:eastAsiaTheme="majorEastAsia" w:cs="Arial"/>
          <w:b/>
          <w:sz w:val="32"/>
          <w:szCs w:val="32"/>
        </w:rPr>
      </w:pPr>
      <w:bookmarkStart w:id="115" w:name="_Toc530573364"/>
      <w:r>
        <w:br w:type="page"/>
      </w:r>
    </w:p>
    <w:p w14:paraId="1BCC1F7A" w14:textId="499AA1B3" w:rsidR="00581A5E" w:rsidRDefault="00717FE7" w:rsidP="00D0581F">
      <w:pPr>
        <w:pStyle w:val="Heading2"/>
      </w:pPr>
      <w:bookmarkStart w:id="116" w:name="_Toc57368602"/>
      <w:r>
        <w:rPr>
          <w:noProof/>
          <w:lang w:eastAsia="en-AU"/>
        </w:rPr>
        <w:lastRenderedPageBreak/>
        <mc:AlternateContent>
          <mc:Choice Requires="wps">
            <w:drawing>
              <wp:anchor distT="45720" distB="45720" distL="114300" distR="114300" simplePos="0" relativeHeight="251687936" behindDoc="0" locked="0" layoutInCell="1" allowOverlap="1" wp14:anchorId="36763724" wp14:editId="48790C09">
                <wp:simplePos x="0" y="0"/>
                <wp:positionH relativeFrom="column">
                  <wp:posOffset>13970</wp:posOffset>
                </wp:positionH>
                <wp:positionV relativeFrom="paragraph">
                  <wp:posOffset>530860</wp:posOffset>
                </wp:positionV>
                <wp:extent cx="5646420" cy="1404620"/>
                <wp:effectExtent l="0" t="0" r="0" b="50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404620"/>
                        </a:xfrm>
                        <a:prstGeom prst="rect">
                          <a:avLst/>
                        </a:prstGeom>
                        <a:solidFill>
                          <a:srgbClr val="9BAF91"/>
                        </a:solidFill>
                        <a:ln w="9525">
                          <a:noFill/>
                          <a:miter lim="800000"/>
                          <a:headEnd/>
                          <a:tailEnd/>
                        </a:ln>
                      </wps:spPr>
                      <wps:txbx>
                        <w:txbxContent>
                          <w:p w14:paraId="56967246" w14:textId="1857DE54" w:rsidR="00D76477" w:rsidRDefault="00D76477">
                            <w:pPr>
                              <w:rPr>
                                <w:b/>
                                <w:bCs/>
                              </w:rPr>
                            </w:pPr>
                            <w:r>
                              <w:rPr>
                                <w:b/>
                                <w:bCs/>
                              </w:rPr>
                              <w:t xml:space="preserve">“Looking back on some of my patients, there were some who experienced unusually high levels of depression, anxiety and somatic symptoms that were difficult to explain. </w:t>
                            </w:r>
                            <w:proofErr w:type="gramStart"/>
                            <w:r>
                              <w:rPr>
                                <w:b/>
                                <w:bCs/>
                              </w:rPr>
                              <w:t>Having become aware of the issue of RC, it</w:t>
                            </w:r>
                            <w:proofErr w:type="gramEnd"/>
                            <w:r>
                              <w:rPr>
                                <w:b/>
                                <w:bCs/>
                              </w:rPr>
                              <w:t xml:space="preserve"> is highly possible that they were experiencing some form of coercion to continue the pregnancy.”</w:t>
                            </w:r>
                          </w:p>
                          <w:p w14:paraId="7DF90E09" w14:textId="62E79628" w:rsidR="00D76477" w:rsidRPr="00717FE7" w:rsidRDefault="00D76477">
                            <w:pPr>
                              <w:rPr>
                                <w:b/>
                                <w:bCs/>
                              </w:rPr>
                            </w:pPr>
                            <w:r>
                              <w:rPr>
                                <w:b/>
                                <w:bCs/>
                              </w:rPr>
                              <w:t>Obstetrician and Gynaecologist, Melbourne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63724" id="_x0000_s1031" type="#_x0000_t202" style="position:absolute;margin-left:1.1pt;margin-top:41.8pt;width:444.6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" fillcolor="#9baf91" stroked="f">
                <v:textbox style="mso-fit-shape-to-text:t">
                  <w:txbxContent>
                    <w:p w14:paraId="56967246" w14:textId="1857DE54" w:rsidR="00D76477" w:rsidRDefault="00D76477">
                      <w:pPr>
                        <w:rPr>
                          <w:b/>
                          <w:bCs/>
                        </w:rPr>
                      </w:pPr>
                      <w:r>
                        <w:rPr>
                          <w:b/>
                          <w:bCs/>
                        </w:rPr>
                        <w:t xml:space="preserve">“Looking back on some of my patients, there were some who experienced unusually high levels of depression, anxiety and somatic symptoms that were difficult to explain. </w:t>
                      </w:r>
                      <w:proofErr w:type="gramStart"/>
                      <w:r>
                        <w:rPr>
                          <w:b/>
                          <w:bCs/>
                        </w:rPr>
                        <w:t>Having become aware of the issue of RC, it</w:t>
                      </w:r>
                      <w:proofErr w:type="gramEnd"/>
                      <w:r>
                        <w:rPr>
                          <w:b/>
                          <w:bCs/>
                        </w:rPr>
                        <w:t xml:space="preserve"> is highly possible that they were experiencing some form of coercion to continue the pregnancy.”</w:t>
                      </w:r>
                    </w:p>
                    <w:p w14:paraId="7DF90E09" w14:textId="62E79628" w:rsidR="00D76477" w:rsidRPr="00717FE7" w:rsidRDefault="00D76477">
                      <w:pPr>
                        <w:rPr>
                          <w:b/>
                          <w:bCs/>
                        </w:rPr>
                      </w:pPr>
                      <w:r>
                        <w:rPr>
                          <w:b/>
                          <w:bCs/>
                        </w:rPr>
                        <w:t>Obstetrician and Gynaecologist, Melbourne 2018</w:t>
                      </w:r>
                    </w:p>
                  </w:txbxContent>
                </v:textbox>
                <w10:wrap type="square"/>
              </v:shape>
            </w:pict>
          </mc:Fallback>
        </mc:AlternateContent>
      </w:r>
      <w:r w:rsidR="00581A5E" w:rsidRPr="00A618BE">
        <w:t>R</w:t>
      </w:r>
      <w:r w:rsidR="008337A7">
        <w:t>eproductive coercion</w:t>
      </w:r>
      <w:r w:rsidR="00581A5E" w:rsidRPr="00A618BE">
        <w:t xml:space="preserve"> as a </w:t>
      </w:r>
      <w:r w:rsidR="00D231C5">
        <w:t>p</w:t>
      </w:r>
      <w:r w:rsidR="00581A5E" w:rsidRPr="00A618BE">
        <w:t xml:space="preserve">ublic </w:t>
      </w:r>
      <w:r w:rsidR="00D231C5">
        <w:t>h</w:t>
      </w:r>
      <w:r w:rsidR="00581A5E" w:rsidRPr="00A618BE">
        <w:t xml:space="preserve">ealth </w:t>
      </w:r>
      <w:r>
        <w:t>i</w:t>
      </w:r>
      <w:r w:rsidR="00581A5E" w:rsidRPr="00A618BE">
        <w:t>ssue</w:t>
      </w:r>
      <w:bookmarkEnd w:id="115"/>
      <w:bookmarkEnd w:id="116"/>
      <w:r w:rsidR="00581A5E" w:rsidRPr="00A618BE">
        <w:t xml:space="preserve"> </w:t>
      </w:r>
    </w:p>
    <w:p w14:paraId="677E0CB1" w14:textId="61926E34" w:rsidR="00717FE7" w:rsidRDefault="00717FE7" w:rsidP="00717FE7"/>
    <w:p w14:paraId="0D2EB3B5" w14:textId="58FB457C" w:rsidR="00581A5E" w:rsidRPr="00A618BE" w:rsidRDefault="0010198D" w:rsidP="00D0581F">
      <w:r>
        <w:t>R</w:t>
      </w:r>
      <w:r w:rsidRPr="00A618BE">
        <w:t xml:space="preserve">eproductive </w:t>
      </w:r>
      <w:r>
        <w:t>c</w:t>
      </w:r>
      <w:r w:rsidRPr="00A618BE">
        <w:t>oercion</w:t>
      </w:r>
      <w:r w:rsidR="00581A5E" w:rsidRPr="00A618BE">
        <w:t>, like FV</w:t>
      </w:r>
      <w:r w:rsidR="00581A5E">
        <w:t>,</w:t>
      </w:r>
      <w:r w:rsidR="00581A5E" w:rsidRPr="00A618BE">
        <w:t xml:space="preserve"> IPV and SV, is a public health issue. Lack of control over reproductive health decision and the presence of violence and coercion can lead to significant health problems including chronic pain, gastrointestinal and gynaecological issues, STIs, depression, anxiety, post-traumatic stress disorder (PTSD), self-harm and suicide ideation. There are also significant risks to infants in cases of coerced or forced pregnancies</w:t>
      </w:r>
      <w:r w:rsidR="00581A5E">
        <w:t>.</w:t>
      </w:r>
      <w:r w:rsidR="00581A5E" w:rsidRPr="00A618BE">
        <w:rPr>
          <w:rStyle w:val="EndnoteReference"/>
        </w:rPr>
        <w:endnoteReference w:id="78"/>
      </w:r>
    </w:p>
    <w:p w14:paraId="53B0D968" w14:textId="795EC230" w:rsidR="00581A5E" w:rsidRPr="00A618BE" w:rsidRDefault="00581A5E" w:rsidP="00D0581F">
      <w:r w:rsidRPr="00A618BE">
        <w:t>Healthcare settings and servi</w:t>
      </w:r>
      <w:r>
        <w:t xml:space="preserve">ces, </w:t>
      </w:r>
      <w:r w:rsidRPr="00A618BE">
        <w:t xml:space="preserve">including maternal and child health services, accident and emergency departments, family planning services including abortion providers, fertility clinics, gynaecologist and obstetricians, and </w:t>
      </w:r>
      <w:r>
        <w:t>General Practitioners (GPs)</w:t>
      </w:r>
      <w:r w:rsidRPr="00A618BE">
        <w:t xml:space="preserve"> – have a critical role to play in identifying and treating </w:t>
      </w:r>
      <w:r w:rsidR="0010198D">
        <w:t>r</w:t>
      </w:r>
      <w:r w:rsidR="0010198D" w:rsidRPr="00A618BE">
        <w:t xml:space="preserve">eproductive </w:t>
      </w:r>
      <w:r w:rsidR="0010198D">
        <w:t>c</w:t>
      </w:r>
      <w:r w:rsidR="0010198D" w:rsidRPr="00A618BE">
        <w:t>oercion</w:t>
      </w:r>
      <w:r w:rsidRPr="00A618BE">
        <w:t xml:space="preserve">. Where violence, particularly IPV, occurs alongside </w:t>
      </w:r>
      <w:r w:rsidR="0010198D">
        <w:t>r</w:t>
      </w:r>
      <w:r w:rsidR="0010198D" w:rsidRPr="00A618BE">
        <w:t xml:space="preserve">eproductive </w:t>
      </w:r>
      <w:r w:rsidR="0010198D">
        <w:t>c</w:t>
      </w:r>
      <w:r w:rsidR="0010198D" w:rsidRPr="00A618BE">
        <w:t>oercion</w:t>
      </w:r>
      <w:r w:rsidRPr="00A618BE">
        <w:t>, the person experiencing coercion is more likely to seek treatment for physical injuries and trauma than psychological trauma, meaning that healthcare settings and healthcare professionals are in a unique position to identify coercion and abuse</w:t>
      </w:r>
      <w:r>
        <w:t>.</w:t>
      </w:r>
      <w:r w:rsidRPr="00A618BE">
        <w:rPr>
          <w:rStyle w:val="EndnoteReference"/>
        </w:rPr>
        <w:endnoteReference w:id="79"/>
      </w:r>
      <w:r w:rsidRPr="00A618BE">
        <w:t xml:space="preserve"> </w:t>
      </w:r>
    </w:p>
    <w:p w14:paraId="42913C87" w14:textId="0E797AA0" w:rsidR="00581A5E" w:rsidRPr="00A618BE" w:rsidRDefault="0010198D" w:rsidP="00D0581F">
      <w:r>
        <w:t>R</w:t>
      </w:r>
      <w:r w:rsidRPr="00A618BE">
        <w:t xml:space="preserve">eproductive </w:t>
      </w:r>
      <w:r>
        <w:t>c</w:t>
      </w:r>
      <w:r w:rsidRPr="00A618BE">
        <w:t>oercion</w:t>
      </w:r>
      <w:r>
        <w:t xml:space="preserve"> </w:t>
      </w:r>
      <w:r w:rsidR="00581A5E" w:rsidRPr="00A618BE">
        <w:t xml:space="preserve">that takes place in the absence of violence may prove more challenging to identify. What we do know from current research is that the health impacts of </w:t>
      </w:r>
      <w:r>
        <w:t>r</w:t>
      </w:r>
      <w:r w:rsidRPr="00A618BE">
        <w:t xml:space="preserve">eproductive </w:t>
      </w:r>
      <w:r>
        <w:t>c</w:t>
      </w:r>
      <w:r w:rsidRPr="00A618BE">
        <w:t>oercion</w:t>
      </w:r>
      <w:r>
        <w:t xml:space="preserve"> </w:t>
      </w:r>
      <w:r w:rsidR="00581A5E" w:rsidRPr="00A618BE">
        <w:t>include mental health, sexual and reproductive health and maternal and child health impacts</w:t>
      </w:r>
      <w:r w:rsidR="00581A5E">
        <w:t>,</w:t>
      </w:r>
      <w:r w:rsidR="00581A5E" w:rsidRPr="00A618BE">
        <w:rPr>
          <w:rStyle w:val="EndnoteReference"/>
        </w:rPr>
        <w:endnoteReference w:id="80"/>
      </w:r>
      <w:r w:rsidR="00581A5E" w:rsidRPr="00A618BE">
        <w:t xml:space="preserve"> </w:t>
      </w:r>
      <w:r w:rsidR="00581A5E">
        <w:t>underscoring the</w:t>
      </w:r>
      <w:r w:rsidR="00581A5E" w:rsidRPr="00A618BE">
        <w:t xml:space="preserve"> important role</w:t>
      </w:r>
      <w:r w:rsidR="00581A5E">
        <w:t xml:space="preserve"> of</w:t>
      </w:r>
      <w:r w:rsidR="00581A5E" w:rsidRPr="00A618BE">
        <w:t xml:space="preserve"> healthcare and other service providers working in these fields in identifying instances of </w:t>
      </w:r>
      <w:r w:rsidR="003670C0">
        <w:t>r</w:t>
      </w:r>
      <w:r w:rsidR="003670C0" w:rsidRPr="00A618BE">
        <w:t xml:space="preserve">eproductive </w:t>
      </w:r>
      <w:r w:rsidR="003670C0">
        <w:t>c</w:t>
      </w:r>
      <w:r w:rsidR="003670C0" w:rsidRPr="00A618BE">
        <w:t>oercion</w:t>
      </w:r>
      <w:r w:rsidR="00581A5E" w:rsidRPr="00A618BE">
        <w:t xml:space="preserve">. The role of the healthcare provider will be explored in more detail later in this </w:t>
      </w:r>
      <w:r w:rsidR="003670C0">
        <w:t>w</w:t>
      </w:r>
      <w:r w:rsidR="00581A5E" w:rsidRPr="00A618BE">
        <w:t xml:space="preserve">hite </w:t>
      </w:r>
      <w:r w:rsidR="003670C0">
        <w:t>p</w:t>
      </w:r>
      <w:r w:rsidR="00581A5E" w:rsidRPr="00A618BE">
        <w:t>aper.</w:t>
      </w:r>
    </w:p>
    <w:p w14:paraId="58CBE766" w14:textId="6561FA6E" w:rsidR="00581A5E" w:rsidRPr="00A618BE" w:rsidRDefault="00581A5E" w:rsidP="00D0581F">
      <w:r w:rsidRPr="00A618BE">
        <w:t xml:space="preserve">In a broader sense, it is fair to assume that given </w:t>
      </w:r>
      <w:r>
        <w:t>FV</w:t>
      </w:r>
      <w:r w:rsidRPr="00A618BE">
        <w:t>, IPV and SV all have an impact on our health system</w:t>
      </w:r>
      <w:r w:rsidRPr="00A618BE">
        <w:rPr>
          <w:rStyle w:val="EndnoteReference"/>
        </w:rPr>
        <w:endnoteReference w:id="81"/>
      </w:r>
      <w:r w:rsidRPr="00A618BE">
        <w:t xml:space="preserve"> and our economy</w:t>
      </w:r>
      <w:r w:rsidRPr="00A618BE">
        <w:rPr>
          <w:rStyle w:val="EndnoteReference"/>
        </w:rPr>
        <w:endnoteReference w:id="82"/>
      </w:r>
      <w:r w:rsidRPr="00A618BE">
        <w:t xml:space="preserve"> so, too would </w:t>
      </w:r>
      <w:r w:rsidR="003670C0">
        <w:t>r</w:t>
      </w:r>
      <w:r w:rsidR="003670C0" w:rsidRPr="00A618BE">
        <w:t xml:space="preserve">eproductive </w:t>
      </w:r>
      <w:r w:rsidR="003670C0">
        <w:t>c</w:t>
      </w:r>
      <w:r w:rsidR="003670C0" w:rsidRPr="00A618BE">
        <w:t>oercion</w:t>
      </w:r>
      <w:r w:rsidRPr="00A618BE">
        <w:t>. However, it is difficult to quantify such an impact or impacts given the lack of current research in Australia.</w:t>
      </w:r>
    </w:p>
    <w:p w14:paraId="450DC732" w14:textId="77777777" w:rsidR="00717FE7" w:rsidRDefault="00581A5E" w:rsidP="00D0581F">
      <w:r w:rsidRPr="00A618BE">
        <w:t xml:space="preserve">While many of the submissions to this </w:t>
      </w:r>
      <w:r w:rsidR="00B56730">
        <w:t>w</w:t>
      </w:r>
      <w:r w:rsidRPr="00A618BE">
        <w:t xml:space="preserve">hite </w:t>
      </w:r>
      <w:r w:rsidR="00B56730">
        <w:t>p</w:t>
      </w:r>
      <w:r w:rsidRPr="00A618BE">
        <w:t xml:space="preserve">aper outlined the need to have appropriate psychosocial support for people experiencing </w:t>
      </w:r>
      <w:r w:rsidR="003670C0">
        <w:t>r</w:t>
      </w:r>
      <w:r w:rsidR="003670C0" w:rsidRPr="00A618BE">
        <w:t xml:space="preserve">eproductive </w:t>
      </w:r>
      <w:r w:rsidR="003670C0">
        <w:t>c</w:t>
      </w:r>
      <w:r w:rsidR="003670C0" w:rsidRPr="00A618BE">
        <w:t>oercion</w:t>
      </w:r>
      <w:r w:rsidRPr="00A618BE">
        <w:t xml:space="preserve">, very few outlined the specific public health risks of </w:t>
      </w:r>
      <w:r w:rsidR="003670C0">
        <w:t>r</w:t>
      </w:r>
      <w:r w:rsidR="003670C0" w:rsidRPr="00A618BE">
        <w:t xml:space="preserve">eproductive </w:t>
      </w:r>
      <w:r w:rsidR="003670C0">
        <w:t>c</w:t>
      </w:r>
      <w:r w:rsidR="003670C0" w:rsidRPr="00A618BE">
        <w:t>oercion</w:t>
      </w:r>
      <w:r w:rsidR="003670C0">
        <w:t xml:space="preserve"> </w:t>
      </w:r>
      <w:r w:rsidRPr="00A618BE">
        <w:t xml:space="preserve">which may reflect a lack of research into the phenomena. Given the close association between </w:t>
      </w:r>
      <w:r w:rsidR="003670C0">
        <w:t>r</w:t>
      </w:r>
      <w:r w:rsidR="003670C0" w:rsidRPr="00A618BE">
        <w:t xml:space="preserve">eproductive </w:t>
      </w:r>
      <w:r w:rsidR="003670C0">
        <w:t>c</w:t>
      </w:r>
      <w:r w:rsidR="003670C0" w:rsidRPr="00A618BE">
        <w:t>oercion</w:t>
      </w:r>
      <w:r w:rsidR="003670C0">
        <w:t xml:space="preserve"> </w:t>
      </w:r>
      <w:r w:rsidRPr="00A618BE">
        <w:t xml:space="preserve">and other significant public health issues, such as, FV, IPV and SV, it would appear important that the likely risks associated with </w:t>
      </w:r>
      <w:r w:rsidR="003670C0">
        <w:t>r</w:t>
      </w:r>
      <w:r w:rsidR="003670C0" w:rsidRPr="00A618BE">
        <w:t xml:space="preserve">eproductive </w:t>
      </w:r>
      <w:r w:rsidR="003670C0">
        <w:t>c</w:t>
      </w:r>
      <w:r w:rsidR="003670C0" w:rsidRPr="00A618BE">
        <w:t>oercion</w:t>
      </w:r>
      <w:r w:rsidR="003670C0">
        <w:t xml:space="preserve"> </w:t>
      </w:r>
      <w:r w:rsidRPr="00A618BE">
        <w:t xml:space="preserve">are also examined. </w:t>
      </w:r>
    </w:p>
    <w:p w14:paraId="21792486" w14:textId="66CF982C" w:rsidR="00581A5E" w:rsidRPr="00A618BE" w:rsidRDefault="00581A5E" w:rsidP="00D0581F">
      <w:r w:rsidRPr="00A618BE">
        <w:lastRenderedPageBreak/>
        <w:t xml:space="preserve">Due to the lack of direct research evidence, much of the following sections will draw on research into the public health impacts of IPV to explore health risks that may also be associated with </w:t>
      </w:r>
      <w:r w:rsidR="003670C0">
        <w:t>r</w:t>
      </w:r>
      <w:r w:rsidR="003670C0" w:rsidRPr="00A618BE">
        <w:t xml:space="preserve">eproductive </w:t>
      </w:r>
      <w:r w:rsidR="003670C0">
        <w:t>c</w:t>
      </w:r>
      <w:r w:rsidR="003670C0" w:rsidRPr="00A618BE">
        <w:t>oercion</w:t>
      </w:r>
      <w:r w:rsidRPr="00A618BE">
        <w:t xml:space="preserve">.  </w:t>
      </w:r>
    </w:p>
    <w:p w14:paraId="3F7AF4CF" w14:textId="70B5DCCB" w:rsidR="00581A5E" w:rsidRPr="00BE4A29" w:rsidRDefault="00581A5E" w:rsidP="00D0581F">
      <w:pPr>
        <w:rPr>
          <w:b/>
        </w:rPr>
      </w:pPr>
      <w:bookmarkStart w:id="117" w:name="_Toc530573365"/>
      <w:r w:rsidRPr="00BE4A29">
        <w:rPr>
          <w:b/>
        </w:rPr>
        <w:t xml:space="preserve">Mental </w:t>
      </w:r>
      <w:r w:rsidR="003670C0">
        <w:rPr>
          <w:b/>
        </w:rPr>
        <w:t>h</w:t>
      </w:r>
      <w:r w:rsidRPr="00BE4A29">
        <w:rPr>
          <w:b/>
        </w:rPr>
        <w:t xml:space="preserve">ealth </w:t>
      </w:r>
      <w:r w:rsidR="003670C0">
        <w:rPr>
          <w:b/>
        </w:rPr>
        <w:t>i</w:t>
      </w:r>
      <w:r w:rsidRPr="00BE4A29">
        <w:rPr>
          <w:b/>
        </w:rPr>
        <w:t>mpacts</w:t>
      </w:r>
      <w:bookmarkEnd w:id="117"/>
    </w:p>
    <w:p w14:paraId="6B0E71A7" w14:textId="4141CAF3" w:rsidR="00581A5E" w:rsidRPr="00A618BE" w:rsidRDefault="00581A5E" w:rsidP="00D0581F">
      <w:r w:rsidRPr="00A618BE">
        <w:t>FV</w:t>
      </w:r>
      <w:r>
        <w:t>,</w:t>
      </w:r>
      <w:r w:rsidRPr="00A618BE">
        <w:t xml:space="preserve"> IPV and SV are associated with poor mental health outcomes</w:t>
      </w:r>
      <w:r>
        <w:t>.</w:t>
      </w:r>
      <w:r w:rsidRPr="00A618BE">
        <w:rPr>
          <w:rStyle w:val="EndnoteReference"/>
        </w:rPr>
        <w:endnoteReference w:id="83"/>
      </w:r>
      <w:r w:rsidRPr="00A618BE">
        <w:t xml:space="preserve"> Emerging research also suggests a link between poor mental health outcomes and </w:t>
      </w:r>
      <w:r w:rsidR="003670C0">
        <w:t>r</w:t>
      </w:r>
      <w:r w:rsidR="003670C0" w:rsidRPr="00A618BE">
        <w:t xml:space="preserve">eproductive </w:t>
      </w:r>
      <w:r w:rsidR="003670C0">
        <w:t>c</w:t>
      </w:r>
      <w:r w:rsidR="003670C0" w:rsidRPr="00A618BE">
        <w:t>oercion</w:t>
      </w:r>
      <w:r w:rsidRPr="00A618BE">
        <w:t xml:space="preserve">. In a study of women in Cote D’Ivoire who reported being subjected to </w:t>
      </w:r>
      <w:r w:rsidR="003670C0">
        <w:t>r</w:t>
      </w:r>
      <w:r w:rsidR="003670C0" w:rsidRPr="00A618BE">
        <w:t xml:space="preserve">eproductive </w:t>
      </w:r>
      <w:r w:rsidR="003670C0">
        <w:t>c</w:t>
      </w:r>
      <w:r w:rsidR="003670C0" w:rsidRPr="00A618BE">
        <w:t>oercion</w:t>
      </w:r>
      <w:r w:rsidRPr="00A618BE">
        <w:t>, 22% of women reported suffering PTSD.</w:t>
      </w:r>
      <w:r w:rsidRPr="00A618BE">
        <w:rPr>
          <w:rStyle w:val="EndnoteReference"/>
        </w:rPr>
        <w:endnoteReference w:id="84"/>
      </w:r>
      <w:r>
        <w:t xml:space="preserve"> Furthermore, long-</w:t>
      </w:r>
      <w:r w:rsidRPr="00A618BE">
        <w:t>term exposure to abuse, violence and control c</w:t>
      </w:r>
      <w:r>
        <w:t>an result in c</w:t>
      </w:r>
      <w:r w:rsidRPr="00A618BE">
        <w:t>omplex PTSD that, above and beyond symptoms of ‘regular’ PTSD, can include dissociation, explosive anger, distrust, obsession with revenge, drug and alcohol abuse, chronic despair and self-harm</w:t>
      </w:r>
      <w:r>
        <w:t>.</w:t>
      </w:r>
      <w:r w:rsidRPr="00A618BE">
        <w:rPr>
          <w:rStyle w:val="EndnoteReference"/>
        </w:rPr>
        <w:endnoteReference w:id="85"/>
      </w:r>
    </w:p>
    <w:p w14:paraId="242B064F" w14:textId="3ECA5039" w:rsidR="00581A5E" w:rsidRPr="00A618BE" w:rsidRDefault="00581A5E" w:rsidP="00D0581F">
      <w:r w:rsidRPr="00A618BE">
        <w:t xml:space="preserve">Research into the mental health impacts of IPV in the United States </w:t>
      </w:r>
      <w:r w:rsidR="003670C0">
        <w:t xml:space="preserve">of America </w:t>
      </w:r>
      <w:r w:rsidRPr="00A618BE">
        <w:t>also shows that victims of IPV are more likely to experience:</w:t>
      </w:r>
    </w:p>
    <w:p w14:paraId="219DDB3E" w14:textId="45E23435" w:rsidR="00581A5E" w:rsidRPr="00A618BE" w:rsidRDefault="00717FE7" w:rsidP="00D0581F">
      <w:pPr>
        <w:pStyle w:val="ListParagraph"/>
        <w:numPr>
          <w:ilvl w:val="0"/>
          <w:numId w:val="22"/>
        </w:numPr>
        <w:spacing w:before="240" w:after="240"/>
      </w:pPr>
      <w:r>
        <w:t>s</w:t>
      </w:r>
      <w:r w:rsidR="00581A5E" w:rsidRPr="00A618BE">
        <w:t xml:space="preserve">evere mood disorders: one study found an eightfold increase in </w:t>
      </w:r>
      <w:r w:rsidR="00581A5E">
        <w:t xml:space="preserve">the </w:t>
      </w:r>
      <w:r w:rsidR="00581A5E" w:rsidRPr="00A618BE">
        <w:t xml:space="preserve">risk of severe mood disorders in those who were slapped, kicked, </w:t>
      </w:r>
      <w:proofErr w:type="gramStart"/>
      <w:r w:rsidR="00581A5E" w:rsidRPr="00A618BE">
        <w:t>bitten</w:t>
      </w:r>
      <w:proofErr w:type="gramEnd"/>
      <w:r w:rsidR="00581A5E" w:rsidRPr="00A618BE">
        <w:t xml:space="preserve"> or hit at least once per month</w:t>
      </w:r>
      <w:r w:rsidR="00581A5E" w:rsidRPr="00A618BE">
        <w:rPr>
          <w:rStyle w:val="EndnoteReference"/>
        </w:rPr>
        <w:endnoteReference w:id="86"/>
      </w:r>
    </w:p>
    <w:p w14:paraId="3FF0AB7F" w14:textId="5FF80292" w:rsidR="00581A5E" w:rsidRPr="00A618BE" w:rsidRDefault="00717FE7" w:rsidP="00D0581F">
      <w:pPr>
        <w:pStyle w:val="ListParagraph"/>
        <w:numPr>
          <w:ilvl w:val="0"/>
          <w:numId w:val="22"/>
        </w:numPr>
        <w:spacing w:before="240" w:after="240"/>
      </w:pPr>
      <w:r>
        <w:t>d</w:t>
      </w:r>
      <w:r w:rsidR="00581A5E" w:rsidRPr="00A618BE">
        <w:t>epression</w:t>
      </w:r>
      <w:r w:rsidR="00581A5E" w:rsidRPr="00A618BE">
        <w:rPr>
          <w:rStyle w:val="EndnoteReference"/>
        </w:rPr>
        <w:endnoteReference w:id="87"/>
      </w:r>
    </w:p>
    <w:p w14:paraId="0EEFF60A" w14:textId="1081A311" w:rsidR="00581A5E" w:rsidRPr="00A618BE" w:rsidRDefault="00717FE7" w:rsidP="00D0581F">
      <w:pPr>
        <w:pStyle w:val="ListParagraph"/>
        <w:numPr>
          <w:ilvl w:val="0"/>
          <w:numId w:val="22"/>
        </w:numPr>
        <w:spacing w:before="240" w:after="240"/>
      </w:pPr>
      <w:r>
        <w:t>a</w:t>
      </w:r>
      <w:r w:rsidR="00581A5E" w:rsidRPr="00A618BE">
        <w:t>nxiety disorders</w:t>
      </w:r>
      <w:r w:rsidR="00581A5E" w:rsidRPr="00A618BE">
        <w:rPr>
          <w:rStyle w:val="EndnoteReference"/>
        </w:rPr>
        <w:endnoteReference w:id="88"/>
      </w:r>
    </w:p>
    <w:p w14:paraId="26BE9B60" w14:textId="0DD48EEA" w:rsidR="00581A5E" w:rsidRPr="00A618BE" w:rsidRDefault="00717FE7" w:rsidP="00D0581F">
      <w:pPr>
        <w:pStyle w:val="ListParagraph"/>
        <w:numPr>
          <w:ilvl w:val="0"/>
          <w:numId w:val="22"/>
        </w:numPr>
        <w:spacing w:before="240" w:after="240"/>
      </w:pPr>
      <w:r>
        <w:t>s</w:t>
      </w:r>
      <w:r w:rsidR="00581A5E" w:rsidRPr="00A618BE">
        <w:t xml:space="preserve">ubstance abuse disorders, including higher rates of consumption of nicotine, </w:t>
      </w:r>
      <w:proofErr w:type="gramStart"/>
      <w:r w:rsidR="00581A5E" w:rsidRPr="00A618BE">
        <w:t>alcohol</w:t>
      </w:r>
      <w:proofErr w:type="gramEnd"/>
      <w:r w:rsidR="00581A5E" w:rsidRPr="00A618BE">
        <w:t xml:space="preserve"> and other drugs</w:t>
      </w:r>
      <w:r w:rsidR="00581A5E" w:rsidRPr="00A618BE">
        <w:rPr>
          <w:rStyle w:val="EndnoteReference"/>
        </w:rPr>
        <w:endnoteReference w:id="89"/>
      </w:r>
    </w:p>
    <w:p w14:paraId="795B7F1F" w14:textId="76CAA699" w:rsidR="00581A5E" w:rsidRPr="00A618BE" w:rsidRDefault="00717FE7" w:rsidP="00D0581F">
      <w:pPr>
        <w:pStyle w:val="ListParagraph"/>
        <w:numPr>
          <w:ilvl w:val="0"/>
          <w:numId w:val="22"/>
        </w:numPr>
        <w:spacing w:before="240" w:after="240"/>
      </w:pPr>
      <w:r>
        <w:t>s</w:t>
      </w:r>
      <w:r w:rsidR="00581A5E" w:rsidRPr="00A618BE">
        <w:t xml:space="preserve">uicidal tendencies and learned helplessness </w:t>
      </w:r>
      <w:proofErr w:type="gramStart"/>
      <w:r w:rsidR="00581A5E" w:rsidRPr="00A618BE">
        <w:t>as a result of</w:t>
      </w:r>
      <w:proofErr w:type="gramEnd"/>
      <w:r w:rsidR="00581A5E" w:rsidRPr="00A618BE">
        <w:t xml:space="preserve"> perceiving little or no control over their life or relationship</w:t>
      </w:r>
      <w:r w:rsidR="00581A5E" w:rsidRPr="00A618BE">
        <w:rPr>
          <w:rStyle w:val="EndnoteReference"/>
        </w:rPr>
        <w:endnoteReference w:id="90"/>
      </w:r>
      <w:r w:rsidR="00581A5E" w:rsidRPr="00A618BE">
        <w:t xml:space="preserve"> </w:t>
      </w:r>
    </w:p>
    <w:p w14:paraId="4628D2E1" w14:textId="77777777" w:rsidR="00581A5E" w:rsidRDefault="00581A5E" w:rsidP="00D0581F">
      <w:r w:rsidRPr="00A618BE">
        <w:t xml:space="preserve">Depression and prolonged exposure to high stress are also independent risk factors for heart disease, stroke, diabetes, </w:t>
      </w:r>
      <w:proofErr w:type="gramStart"/>
      <w:r w:rsidRPr="00A618BE">
        <w:t>osteoporosis</w:t>
      </w:r>
      <w:proofErr w:type="gramEnd"/>
      <w:r w:rsidRPr="00A618BE">
        <w:t xml:space="preserve"> and cancer. People who have a history of trauma, particularly women, are also more likely to experience a broad range of physical health problems, chronic pain and use more medication and health services than those with no history of abuse</w:t>
      </w:r>
      <w:r>
        <w:t>.</w:t>
      </w:r>
      <w:r w:rsidRPr="00A618BE">
        <w:rPr>
          <w:rStyle w:val="EndnoteReference"/>
        </w:rPr>
        <w:endnoteReference w:id="91"/>
      </w:r>
    </w:p>
    <w:p w14:paraId="272EDD14" w14:textId="3AFA9E1D" w:rsidR="00581A5E" w:rsidRPr="00BE4A29" w:rsidRDefault="00581A5E" w:rsidP="00D0581F">
      <w:pPr>
        <w:rPr>
          <w:b/>
        </w:rPr>
      </w:pPr>
      <w:bookmarkStart w:id="118" w:name="_Toc530573366"/>
      <w:r w:rsidRPr="00BE4A29">
        <w:rPr>
          <w:b/>
        </w:rPr>
        <w:t xml:space="preserve">Sexual and </w:t>
      </w:r>
      <w:r w:rsidR="003670C0">
        <w:rPr>
          <w:b/>
        </w:rPr>
        <w:t>r</w:t>
      </w:r>
      <w:r w:rsidRPr="00BE4A29">
        <w:rPr>
          <w:b/>
        </w:rPr>
        <w:t xml:space="preserve">eproductive </w:t>
      </w:r>
      <w:r w:rsidR="003670C0">
        <w:rPr>
          <w:b/>
        </w:rPr>
        <w:t>h</w:t>
      </w:r>
      <w:r w:rsidRPr="00BE4A29">
        <w:rPr>
          <w:b/>
        </w:rPr>
        <w:t xml:space="preserve">ealth </w:t>
      </w:r>
      <w:r w:rsidR="003670C0">
        <w:rPr>
          <w:b/>
        </w:rPr>
        <w:t>p</w:t>
      </w:r>
      <w:r w:rsidRPr="00BE4A29">
        <w:rPr>
          <w:b/>
        </w:rPr>
        <w:t>roblems</w:t>
      </w:r>
      <w:bookmarkEnd w:id="118"/>
    </w:p>
    <w:p w14:paraId="4BE40BDA" w14:textId="77777777" w:rsidR="00581A5E" w:rsidRPr="00A618BE" w:rsidRDefault="00581A5E" w:rsidP="00D0581F">
      <w:r w:rsidRPr="00A618BE">
        <w:t xml:space="preserve">Research into the health impacts of IPV shows a direct link between the experience of IPV and increased risks of gynaecological problems. These problems include STIs, vaginal bleeding or infection, fibroids, decreased sexual drive, genital irritation, pain during intercourse, chronic pelvic </w:t>
      </w:r>
      <w:proofErr w:type="gramStart"/>
      <w:r w:rsidRPr="00A618BE">
        <w:t>pain</w:t>
      </w:r>
      <w:proofErr w:type="gramEnd"/>
      <w:r w:rsidRPr="00A618BE">
        <w:t xml:space="preserve"> and urinary tract infections</w:t>
      </w:r>
      <w:r>
        <w:t>.</w:t>
      </w:r>
      <w:r w:rsidRPr="00A618BE">
        <w:rPr>
          <w:rStyle w:val="EndnoteReference"/>
        </w:rPr>
        <w:endnoteReference w:id="92"/>
      </w:r>
    </w:p>
    <w:p w14:paraId="06A77DE5" w14:textId="0678D02C" w:rsidR="00581A5E" w:rsidRPr="00A618BE" w:rsidRDefault="00581A5E" w:rsidP="00D0581F">
      <w:r w:rsidRPr="00A618BE">
        <w:t xml:space="preserve">Further, refusal to use condoms by a partner perpetrating </w:t>
      </w:r>
      <w:r w:rsidR="003670C0">
        <w:t>r</w:t>
      </w:r>
      <w:r w:rsidR="003670C0" w:rsidRPr="00A618BE">
        <w:t xml:space="preserve">eproductive </w:t>
      </w:r>
      <w:r w:rsidR="003670C0">
        <w:t>c</w:t>
      </w:r>
      <w:r w:rsidR="003670C0" w:rsidRPr="00A618BE">
        <w:t>oercion</w:t>
      </w:r>
      <w:r w:rsidR="003670C0">
        <w:t xml:space="preserve"> </w:t>
      </w:r>
      <w:r w:rsidRPr="00A618BE">
        <w:t>and/or IPV, also leads to higher risk of STIs including HIV. Research with women in heterosexual relationship suggests that those who experience IPV are at increased risk of STIs including HIV, and urinary tract infections</w:t>
      </w:r>
      <w:r>
        <w:t>.</w:t>
      </w:r>
      <w:r w:rsidRPr="00A618BE">
        <w:rPr>
          <w:rStyle w:val="EndnoteReference"/>
        </w:rPr>
        <w:endnoteReference w:id="93"/>
      </w:r>
      <w:r w:rsidRPr="00A618BE">
        <w:t xml:space="preserve"> People experiencing IPV and/or </w:t>
      </w:r>
      <w:r w:rsidR="003670C0">
        <w:t>r</w:t>
      </w:r>
      <w:r w:rsidR="003670C0" w:rsidRPr="00A618BE">
        <w:t xml:space="preserve">eproductive </w:t>
      </w:r>
      <w:r w:rsidR="003670C0">
        <w:t>c</w:t>
      </w:r>
      <w:r w:rsidR="003670C0" w:rsidRPr="00A618BE">
        <w:t>oercion</w:t>
      </w:r>
      <w:r w:rsidR="003670C0">
        <w:t xml:space="preserve"> </w:t>
      </w:r>
      <w:r w:rsidRPr="00A618BE">
        <w:t>may not seek treatment for STIs given the control exerted on them by the perpetrating partner</w:t>
      </w:r>
      <w:r>
        <w:t>.</w:t>
      </w:r>
      <w:r w:rsidRPr="00A618BE">
        <w:rPr>
          <w:rStyle w:val="EndnoteReference"/>
        </w:rPr>
        <w:endnoteReference w:id="94"/>
      </w:r>
      <w:r w:rsidRPr="00A618BE">
        <w:t xml:space="preserve"> Left untreated, STIs can lead to pelvic inflammatory disease, infertility, cancer, poor neonatal health outcomes and potential pregnancy complications</w:t>
      </w:r>
      <w:r>
        <w:t>.</w:t>
      </w:r>
      <w:r w:rsidRPr="00A618BE">
        <w:rPr>
          <w:rStyle w:val="EndnoteReference"/>
        </w:rPr>
        <w:endnoteReference w:id="95"/>
      </w:r>
    </w:p>
    <w:p w14:paraId="6295698B" w14:textId="46D87A7F" w:rsidR="00581A5E" w:rsidRPr="00A618BE" w:rsidRDefault="00581A5E" w:rsidP="00D0581F">
      <w:r w:rsidRPr="00A618BE">
        <w:lastRenderedPageBreak/>
        <w:t xml:space="preserve">Unintended pregnancy risks are also higher for people who experience </w:t>
      </w:r>
      <w:r w:rsidR="003670C0">
        <w:t>r</w:t>
      </w:r>
      <w:r w:rsidR="003670C0" w:rsidRPr="00A618BE">
        <w:t xml:space="preserve">eproductive </w:t>
      </w:r>
      <w:r w:rsidR="003670C0">
        <w:t>c</w:t>
      </w:r>
      <w:r w:rsidR="003670C0" w:rsidRPr="00A618BE">
        <w:t>oercion</w:t>
      </w:r>
      <w:r w:rsidR="003670C0">
        <w:t xml:space="preserve"> </w:t>
      </w:r>
      <w:r w:rsidRPr="00A618BE">
        <w:t>and/ or IPV</w:t>
      </w:r>
      <w:r>
        <w:t>.</w:t>
      </w:r>
      <w:r w:rsidRPr="00A618BE">
        <w:rPr>
          <w:rStyle w:val="EndnoteReference"/>
        </w:rPr>
        <w:endnoteReference w:id="96"/>
      </w:r>
      <w:r w:rsidRPr="00A618BE">
        <w:t xml:space="preserve">  Research from the United States</w:t>
      </w:r>
      <w:r w:rsidR="003670C0">
        <w:t xml:space="preserve"> of America</w:t>
      </w:r>
      <w:r w:rsidRPr="00A618BE">
        <w:t xml:space="preserve"> showed that 1 in 4 women accessing family planning clinics had experienced some form of coercion or IPV</w:t>
      </w:r>
      <w:r>
        <w:t>.</w:t>
      </w:r>
      <w:r w:rsidRPr="00A618BE">
        <w:rPr>
          <w:rStyle w:val="EndnoteReference"/>
        </w:rPr>
        <w:endnoteReference w:id="97"/>
      </w:r>
      <w:r w:rsidRPr="00A618BE">
        <w:t xml:space="preserve"> In Australia, data on women accessing counselling services provided by Children </w:t>
      </w:r>
      <w:r w:rsidR="003670C0">
        <w:t>b</w:t>
      </w:r>
      <w:r w:rsidRPr="00A618BE">
        <w:t>y Choice show</w:t>
      </w:r>
      <w:r>
        <w:t>ed</w:t>
      </w:r>
      <w:r w:rsidRPr="00A618BE">
        <w:t xml:space="preserve"> that clients experiencing </w:t>
      </w:r>
      <w:r w:rsidR="003670C0">
        <w:t>r</w:t>
      </w:r>
      <w:r w:rsidR="003670C0" w:rsidRPr="00A618BE">
        <w:t xml:space="preserve">eproductive </w:t>
      </w:r>
      <w:r w:rsidR="003670C0">
        <w:t>c</w:t>
      </w:r>
      <w:r w:rsidR="003670C0" w:rsidRPr="00A618BE">
        <w:t>oercion</w:t>
      </w:r>
      <w:r w:rsidR="003670C0">
        <w:t xml:space="preserve"> </w:t>
      </w:r>
      <w:r w:rsidRPr="00A618BE">
        <w:t>or IPV were more likely to present for a termination at a later gestation than those who did not experience violence</w:t>
      </w:r>
      <w:r>
        <w:t>.</w:t>
      </w:r>
      <w:r w:rsidRPr="00A618BE">
        <w:rPr>
          <w:rStyle w:val="EndnoteReference"/>
        </w:rPr>
        <w:endnoteReference w:id="98"/>
      </w:r>
      <w:r w:rsidRPr="00A618BE">
        <w:t xml:space="preserve"> Delays in presentation can cause further financial and emotional stress and can carry greater health risk.</w:t>
      </w:r>
    </w:p>
    <w:p w14:paraId="18FEF1E9" w14:textId="79E02B35" w:rsidR="00581A5E" w:rsidRPr="00A618BE" w:rsidRDefault="00581A5E" w:rsidP="00D0581F">
      <w:r w:rsidRPr="00A618BE">
        <w:t xml:space="preserve">The increased sexual and reproductive health risks associated with </w:t>
      </w:r>
      <w:r w:rsidR="003670C0">
        <w:t>r</w:t>
      </w:r>
      <w:r w:rsidR="003670C0" w:rsidRPr="00A618BE">
        <w:t xml:space="preserve">eproductive </w:t>
      </w:r>
      <w:r w:rsidR="003670C0">
        <w:t>c</w:t>
      </w:r>
      <w:r w:rsidR="003670C0" w:rsidRPr="00A618BE">
        <w:t>oercion</w:t>
      </w:r>
      <w:r w:rsidR="003670C0">
        <w:t xml:space="preserve"> </w:t>
      </w:r>
      <w:r w:rsidRPr="00A618BE">
        <w:t xml:space="preserve">and IPV underscores the need for: </w:t>
      </w:r>
    </w:p>
    <w:p w14:paraId="07932727" w14:textId="0F635004" w:rsidR="00581A5E" w:rsidRPr="00A618BE" w:rsidRDefault="00267ADD" w:rsidP="00D0581F">
      <w:pPr>
        <w:pStyle w:val="ListParagraph"/>
        <w:numPr>
          <w:ilvl w:val="0"/>
          <w:numId w:val="31"/>
        </w:numPr>
        <w:spacing w:before="240" w:after="240"/>
      </w:pPr>
      <w:r>
        <w:t>s</w:t>
      </w:r>
      <w:r w:rsidR="00581A5E" w:rsidRPr="00A618BE">
        <w:t xml:space="preserve">exual and reproductive health specialists (particularly abortion care and other family planning providers) to receive adequate training to identify potential clients at risk of </w:t>
      </w:r>
      <w:r w:rsidR="003670C0">
        <w:t>r</w:t>
      </w:r>
      <w:r w:rsidR="003670C0" w:rsidRPr="00A618BE">
        <w:t xml:space="preserve">eproductive </w:t>
      </w:r>
      <w:r w:rsidR="003670C0">
        <w:t>c</w:t>
      </w:r>
      <w:r w:rsidR="003670C0" w:rsidRPr="00A618BE">
        <w:t>oercion</w:t>
      </w:r>
    </w:p>
    <w:p w14:paraId="3351BCCA" w14:textId="7DD5B976" w:rsidR="00581A5E" w:rsidRPr="00A618BE" w:rsidRDefault="00267ADD" w:rsidP="00D0581F">
      <w:pPr>
        <w:pStyle w:val="ListParagraph"/>
        <w:numPr>
          <w:ilvl w:val="0"/>
          <w:numId w:val="31"/>
        </w:numPr>
        <w:spacing w:before="240" w:after="240"/>
      </w:pPr>
      <w:r>
        <w:t>a</w:t>
      </w:r>
      <w:r w:rsidR="00581A5E" w:rsidRPr="00A618BE">
        <w:t xml:space="preserve"> suite of discrete contraceptive options and accompanying contraceptive counselling to be available to clients at risk of </w:t>
      </w:r>
      <w:r w:rsidR="003670C0">
        <w:t>r</w:t>
      </w:r>
      <w:r w:rsidR="003670C0" w:rsidRPr="00A618BE">
        <w:t xml:space="preserve">eproductive </w:t>
      </w:r>
      <w:r w:rsidR="003670C0">
        <w:t>c</w:t>
      </w:r>
      <w:r w:rsidR="003670C0" w:rsidRPr="00A618BE">
        <w:t>oercion</w:t>
      </w:r>
      <w:r w:rsidR="00581A5E" w:rsidRPr="00A618BE">
        <w:t xml:space="preserve">. </w:t>
      </w:r>
    </w:p>
    <w:p w14:paraId="61C45F02" w14:textId="6D59C7A1" w:rsidR="00581A5E" w:rsidRPr="00A618BE" w:rsidRDefault="00581A5E" w:rsidP="00D0581F">
      <w:r w:rsidRPr="00A618BE">
        <w:t xml:space="preserve">There are </w:t>
      </w:r>
      <w:proofErr w:type="gramStart"/>
      <w:r w:rsidRPr="00A618BE">
        <w:t>a number of</w:t>
      </w:r>
      <w:proofErr w:type="gramEnd"/>
      <w:r w:rsidRPr="00A618BE">
        <w:t xml:space="preserve"> warning signs that can indicate </w:t>
      </w:r>
      <w:r w:rsidR="003670C0">
        <w:t>r</w:t>
      </w:r>
      <w:r w:rsidR="003670C0" w:rsidRPr="00A618BE">
        <w:t xml:space="preserve">eproductive </w:t>
      </w:r>
      <w:r w:rsidR="003670C0">
        <w:t>c</w:t>
      </w:r>
      <w:r w:rsidR="003670C0" w:rsidRPr="00A618BE">
        <w:t>oercion</w:t>
      </w:r>
      <w:r w:rsidRPr="00A618BE">
        <w:t>, particularly if IPV has not been disclosed or identified. These signs include:</w:t>
      </w:r>
    </w:p>
    <w:p w14:paraId="457DB075" w14:textId="0A67136E" w:rsidR="00581A5E" w:rsidRPr="00A618BE" w:rsidRDefault="00267ADD" w:rsidP="00D0581F">
      <w:pPr>
        <w:pStyle w:val="ListParagraph"/>
        <w:numPr>
          <w:ilvl w:val="0"/>
          <w:numId w:val="23"/>
        </w:numPr>
        <w:spacing w:before="240" w:after="240"/>
      </w:pPr>
      <w:r>
        <w:t>i</w:t>
      </w:r>
      <w:r w:rsidR="00581A5E" w:rsidRPr="00A618BE">
        <w:t>nability to follow a contraceptive regime including frequent skipping of contraceptive pill, irregular use</w:t>
      </w:r>
      <w:r w:rsidR="00581A5E">
        <w:t xml:space="preserve"> of condoms, removal of long-</w:t>
      </w:r>
      <w:r w:rsidR="00581A5E" w:rsidRPr="00A618BE">
        <w:t>acting reversible contraceptive</w:t>
      </w:r>
      <w:r w:rsidR="00581A5E">
        <w:t xml:space="preserve"> (LARC)</w:t>
      </w:r>
      <w:r w:rsidR="00581A5E" w:rsidRPr="00A618BE">
        <w:t xml:space="preserve"> devices for no apparent physical reason</w:t>
      </w:r>
      <w:r w:rsidR="00581A5E" w:rsidRPr="00A618BE">
        <w:rPr>
          <w:rStyle w:val="EndnoteReference"/>
        </w:rPr>
        <w:endnoteReference w:id="99"/>
      </w:r>
    </w:p>
    <w:p w14:paraId="01E76574" w14:textId="0F97F8B4" w:rsidR="00581A5E" w:rsidRPr="00A618BE" w:rsidRDefault="00267ADD" w:rsidP="00D0581F">
      <w:pPr>
        <w:pStyle w:val="ListParagraph"/>
        <w:numPr>
          <w:ilvl w:val="0"/>
          <w:numId w:val="23"/>
        </w:numPr>
        <w:spacing w:before="240" w:after="240"/>
      </w:pPr>
      <w:r>
        <w:t>m</w:t>
      </w:r>
      <w:r w:rsidR="00581A5E" w:rsidRPr="00A618BE">
        <w:t>ultiple, frequent diagnoses of STIs</w:t>
      </w:r>
      <w:r w:rsidR="00581A5E">
        <w:rPr>
          <w:rStyle w:val="EndnoteReference"/>
        </w:rPr>
        <w:endnoteReference w:id="100"/>
      </w:r>
    </w:p>
    <w:p w14:paraId="252BCAAA" w14:textId="58018DDC" w:rsidR="00581A5E" w:rsidRPr="00A618BE" w:rsidRDefault="00267ADD" w:rsidP="00D0581F">
      <w:pPr>
        <w:pStyle w:val="ListParagraph"/>
        <w:numPr>
          <w:ilvl w:val="0"/>
          <w:numId w:val="23"/>
        </w:numPr>
        <w:spacing w:before="240" w:after="240"/>
      </w:pPr>
      <w:r>
        <w:t>f</w:t>
      </w:r>
      <w:r w:rsidR="00581A5E" w:rsidRPr="00A618BE">
        <w:t>requent requests for emergency contraception or pregnancy testing</w:t>
      </w:r>
      <w:r w:rsidR="00581A5E" w:rsidRPr="00A618BE">
        <w:rPr>
          <w:rStyle w:val="EndnoteReference"/>
        </w:rPr>
        <w:endnoteReference w:id="101"/>
      </w:r>
    </w:p>
    <w:p w14:paraId="1C0AA617" w14:textId="3A2B40BE" w:rsidR="00581A5E" w:rsidRPr="00A618BE" w:rsidRDefault="00267ADD" w:rsidP="00D0581F">
      <w:pPr>
        <w:pStyle w:val="ListParagraph"/>
        <w:numPr>
          <w:ilvl w:val="0"/>
          <w:numId w:val="23"/>
        </w:numPr>
        <w:spacing w:before="240" w:after="240"/>
      </w:pPr>
      <w:r>
        <w:t>m</w:t>
      </w:r>
      <w:r w:rsidR="00581A5E" w:rsidRPr="00A618BE">
        <w:t>ultiple abortions over a short space of time.</w:t>
      </w:r>
      <w:r w:rsidR="00581A5E">
        <w:rPr>
          <w:rStyle w:val="EndnoteReference"/>
        </w:rPr>
        <w:endnoteReference w:id="102"/>
      </w:r>
      <w:r w:rsidR="00581A5E" w:rsidRPr="00A618BE">
        <w:t xml:space="preserve"> </w:t>
      </w:r>
    </w:p>
    <w:p w14:paraId="5F929207" w14:textId="3BFD20D4" w:rsidR="00581A5E" w:rsidRPr="00BE4A29" w:rsidRDefault="00581A5E" w:rsidP="00D0581F">
      <w:pPr>
        <w:rPr>
          <w:b/>
        </w:rPr>
      </w:pPr>
      <w:bookmarkStart w:id="119" w:name="_Toc530573367"/>
      <w:r w:rsidRPr="00BE4A29">
        <w:rPr>
          <w:b/>
        </w:rPr>
        <w:t xml:space="preserve">Maternal and </w:t>
      </w:r>
      <w:r w:rsidR="003670C0">
        <w:rPr>
          <w:b/>
        </w:rPr>
        <w:t>p</w:t>
      </w:r>
      <w:r w:rsidR="003670C0" w:rsidRPr="00BE4A29">
        <w:rPr>
          <w:b/>
        </w:rPr>
        <w:t xml:space="preserve">erinatal </w:t>
      </w:r>
      <w:r w:rsidR="003670C0">
        <w:rPr>
          <w:b/>
        </w:rPr>
        <w:t>h</w:t>
      </w:r>
      <w:r w:rsidRPr="00BE4A29">
        <w:rPr>
          <w:b/>
        </w:rPr>
        <w:t xml:space="preserve">ealth </w:t>
      </w:r>
      <w:r w:rsidR="003670C0">
        <w:rPr>
          <w:b/>
        </w:rPr>
        <w:t>i</w:t>
      </w:r>
      <w:r w:rsidRPr="00BE4A29">
        <w:rPr>
          <w:b/>
        </w:rPr>
        <w:t>mpacts</w:t>
      </w:r>
      <w:bookmarkEnd w:id="119"/>
    </w:p>
    <w:p w14:paraId="14F8EFEF" w14:textId="37E4D2BD" w:rsidR="00581A5E" w:rsidRPr="00A618BE" w:rsidRDefault="00581A5E" w:rsidP="00D0581F">
      <w:r w:rsidRPr="00A618BE">
        <w:t xml:space="preserve">Little research has been conducted specifically on the impact of </w:t>
      </w:r>
      <w:r w:rsidR="003670C0">
        <w:t>r</w:t>
      </w:r>
      <w:r w:rsidR="003670C0" w:rsidRPr="00A618BE">
        <w:t xml:space="preserve">eproductive </w:t>
      </w:r>
      <w:r w:rsidR="003670C0">
        <w:t>c</w:t>
      </w:r>
      <w:r w:rsidR="003670C0" w:rsidRPr="00A618BE">
        <w:t>oercion</w:t>
      </w:r>
      <w:r w:rsidR="003670C0">
        <w:t xml:space="preserve"> </w:t>
      </w:r>
      <w:r w:rsidRPr="00A618BE">
        <w:t xml:space="preserve">on maternal and perinatal health. For this reason, this </w:t>
      </w:r>
      <w:r w:rsidR="00B56730">
        <w:t>w</w:t>
      </w:r>
      <w:r w:rsidRPr="00A618BE">
        <w:t xml:space="preserve">hite </w:t>
      </w:r>
      <w:r w:rsidR="00B56730">
        <w:t>p</w:t>
      </w:r>
      <w:r w:rsidRPr="00A618BE">
        <w:t xml:space="preserve">aper draws on research on IPV and its impact on maternal and perinatal health. </w:t>
      </w:r>
    </w:p>
    <w:p w14:paraId="2D19720D" w14:textId="77777777" w:rsidR="00581A5E" w:rsidRPr="00A618BE" w:rsidRDefault="00581A5E" w:rsidP="00D0581F">
      <w:r w:rsidRPr="00A618BE">
        <w:t xml:space="preserve">Research indicates that heterosexual women who experience IPV are: </w:t>
      </w:r>
    </w:p>
    <w:p w14:paraId="4439287A" w14:textId="6B2B1240" w:rsidR="00581A5E" w:rsidRPr="00A618BE" w:rsidRDefault="00395267" w:rsidP="00D0581F">
      <w:pPr>
        <w:pStyle w:val="ListParagraph"/>
        <w:numPr>
          <w:ilvl w:val="0"/>
          <w:numId w:val="21"/>
        </w:numPr>
        <w:spacing w:before="240" w:after="240"/>
      </w:pPr>
      <w:r>
        <w:t>l</w:t>
      </w:r>
      <w:r w:rsidR="00581A5E" w:rsidRPr="00A618BE">
        <w:t>ess likely to have planned their pregnancy</w:t>
      </w:r>
      <w:r w:rsidR="00581A5E" w:rsidRPr="00A618BE">
        <w:rPr>
          <w:rStyle w:val="EndnoteReference"/>
        </w:rPr>
        <w:endnoteReference w:id="103"/>
      </w:r>
    </w:p>
    <w:p w14:paraId="5FD29C4C" w14:textId="6E681743" w:rsidR="00581A5E" w:rsidRPr="00A618BE" w:rsidRDefault="00395267" w:rsidP="00D0581F">
      <w:pPr>
        <w:pStyle w:val="ListParagraph"/>
        <w:numPr>
          <w:ilvl w:val="0"/>
          <w:numId w:val="21"/>
        </w:numPr>
        <w:spacing w:before="240" w:after="240"/>
      </w:pPr>
      <w:r>
        <w:t>l</w:t>
      </w:r>
      <w:r w:rsidR="00581A5E" w:rsidRPr="00A618BE">
        <w:t>ess likely to make the decision about when to have a baby</w:t>
      </w:r>
      <w:r w:rsidR="00581A5E" w:rsidRPr="00A618BE">
        <w:rPr>
          <w:rStyle w:val="EndnoteReference"/>
        </w:rPr>
        <w:endnoteReference w:id="104"/>
      </w:r>
    </w:p>
    <w:p w14:paraId="2DC2F07E" w14:textId="2A514E04" w:rsidR="00581A5E" w:rsidRDefault="00395267" w:rsidP="00D0581F">
      <w:pPr>
        <w:pStyle w:val="ListParagraph"/>
        <w:numPr>
          <w:ilvl w:val="0"/>
          <w:numId w:val="21"/>
        </w:numPr>
        <w:spacing w:before="240" w:after="240"/>
      </w:pPr>
      <w:r>
        <w:t>m</w:t>
      </w:r>
      <w:r w:rsidR="00581A5E" w:rsidRPr="00A618BE">
        <w:t>ore likely to seek an abortion</w:t>
      </w:r>
      <w:r w:rsidR="00581A5E" w:rsidRPr="00A618BE">
        <w:rPr>
          <w:rStyle w:val="EndnoteReference"/>
        </w:rPr>
        <w:endnoteReference w:id="105"/>
      </w:r>
    </w:p>
    <w:p w14:paraId="2A90E64B" w14:textId="0C2ABFDB" w:rsidR="00581A5E" w:rsidRDefault="00395267" w:rsidP="00D0581F">
      <w:pPr>
        <w:pStyle w:val="ListParagraph"/>
        <w:numPr>
          <w:ilvl w:val="0"/>
          <w:numId w:val="21"/>
        </w:numPr>
        <w:spacing w:before="240" w:after="240"/>
      </w:pPr>
      <w:r>
        <w:t>a</w:t>
      </w:r>
      <w:r w:rsidR="00581A5E" w:rsidRPr="00A618BE">
        <w:t xml:space="preserve">t increased risk of STIs including HIV, urinary tract infections, substance abuse, </w:t>
      </w:r>
      <w:proofErr w:type="gramStart"/>
      <w:r w:rsidR="00581A5E" w:rsidRPr="00A618BE">
        <w:t>depression</w:t>
      </w:r>
      <w:proofErr w:type="gramEnd"/>
      <w:r w:rsidR="00581A5E" w:rsidRPr="00A618BE">
        <w:t xml:space="preserve"> and other mental-health issues</w:t>
      </w:r>
      <w:r w:rsidR="00581A5E">
        <w:t>,</w:t>
      </w:r>
      <w:r w:rsidR="00581A5E" w:rsidRPr="00A618BE">
        <w:rPr>
          <w:rStyle w:val="EndnoteReference"/>
        </w:rPr>
        <w:endnoteReference w:id="106"/>
      </w:r>
      <w:r w:rsidR="00581A5E" w:rsidRPr="00A618BE">
        <w:t xml:space="preserve"> with serious implications for maternal and perinatal health</w:t>
      </w:r>
    </w:p>
    <w:p w14:paraId="13DFA0E4" w14:textId="4670753A" w:rsidR="00581A5E" w:rsidRPr="00A618BE" w:rsidRDefault="00395267" w:rsidP="00D0581F">
      <w:pPr>
        <w:pStyle w:val="ListParagraph"/>
        <w:numPr>
          <w:ilvl w:val="0"/>
          <w:numId w:val="21"/>
        </w:numPr>
        <w:spacing w:before="240" w:after="240"/>
      </w:pPr>
      <w:r>
        <w:t>m</w:t>
      </w:r>
      <w:r w:rsidR="00581A5E" w:rsidRPr="00A618BE">
        <w:t xml:space="preserve">ore likely to experience pre-eclampsia, preterm delivery, fetal </w:t>
      </w:r>
      <w:proofErr w:type="gramStart"/>
      <w:r w:rsidR="00581A5E" w:rsidRPr="00A618BE">
        <w:t>distress</w:t>
      </w:r>
      <w:proofErr w:type="gramEnd"/>
      <w:r w:rsidR="00581A5E" w:rsidRPr="00A618BE">
        <w:t xml:space="preserve"> and antepartum haemorrhage during pregnancy</w:t>
      </w:r>
    </w:p>
    <w:p w14:paraId="052C15E9" w14:textId="5955D989" w:rsidR="00581A5E" w:rsidRPr="00A618BE" w:rsidRDefault="00395267" w:rsidP="00D0581F">
      <w:pPr>
        <w:pStyle w:val="ListParagraph"/>
        <w:numPr>
          <w:ilvl w:val="0"/>
          <w:numId w:val="21"/>
        </w:numPr>
        <w:spacing w:before="240" w:after="240"/>
      </w:pPr>
      <w:r>
        <w:t>m</w:t>
      </w:r>
      <w:r w:rsidR="00581A5E" w:rsidRPr="00A618BE">
        <w:t>ore likely to have a low birthweight baby</w:t>
      </w:r>
      <w:r w:rsidR="00581A5E" w:rsidRPr="00A618BE">
        <w:rPr>
          <w:rStyle w:val="EndnoteReference"/>
        </w:rPr>
        <w:endnoteReference w:id="107"/>
      </w:r>
    </w:p>
    <w:p w14:paraId="07513F46" w14:textId="4D874884" w:rsidR="00581A5E" w:rsidRPr="00A618BE" w:rsidRDefault="00395267" w:rsidP="00D0581F">
      <w:pPr>
        <w:pStyle w:val="ListParagraph"/>
        <w:numPr>
          <w:ilvl w:val="0"/>
          <w:numId w:val="21"/>
        </w:numPr>
        <w:spacing w:before="240" w:after="240"/>
      </w:pPr>
      <w:r>
        <w:t>l</w:t>
      </w:r>
      <w:r w:rsidR="00581A5E" w:rsidRPr="00A618BE">
        <w:t>ess likely to be able to initiate and sustain breastfeeding of an infant</w:t>
      </w:r>
      <w:r w:rsidR="00581A5E" w:rsidRPr="00A618BE">
        <w:rPr>
          <w:rStyle w:val="EndnoteReference"/>
        </w:rPr>
        <w:endnoteReference w:id="108"/>
      </w:r>
    </w:p>
    <w:p w14:paraId="52F519AD" w14:textId="59F5D16F" w:rsidR="00581A5E" w:rsidRPr="00A618BE" w:rsidRDefault="00395267" w:rsidP="00D0581F">
      <w:pPr>
        <w:pStyle w:val="ListParagraph"/>
        <w:numPr>
          <w:ilvl w:val="0"/>
          <w:numId w:val="21"/>
        </w:numPr>
        <w:spacing w:before="240" w:after="240"/>
      </w:pPr>
      <w:r>
        <w:t>a</w:t>
      </w:r>
      <w:r w:rsidR="00581A5E" w:rsidRPr="00A618BE">
        <w:t>t greater risk of maternal death, death of the foetus or both from trauma</w:t>
      </w:r>
      <w:r w:rsidR="00581A5E" w:rsidRPr="00A618BE">
        <w:rPr>
          <w:rStyle w:val="EndnoteReference"/>
        </w:rPr>
        <w:endnoteReference w:id="109"/>
      </w:r>
    </w:p>
    <w:p w14:paraId="1FE6D2FF" w14:textId="77777777" w:rsidR="00581A5E" w:rsidRPr="00A618BE" w:rsidRDefault="00581A5E" w:rsidP="00D0581F">
      <w:r w:rsidRPr="00A618BE">
        <w:lastRenderedPageBreak/>
        <w:t>Studies suggest that pregnancy can also be a time of increased risk of IPV</w:t>
      </w:r>
      <w:r w:rsidRPr="00A618BE">
        <w:rPr>
          <w:rStyle w:val="EndnoteReference"/>
        </w:rPr>
        <w:endnoteReference w:id="110"/>
      </w:r>
      <w:r w:rsidRPr="00A618BE">
        <w:t xml:space="preserve"> and that women experiencing an unplanned pregnancy are at even greater risk of IPV</w:t>
      </w:r>
      <w:r>
        <w:t>.</w:t>
      </w:r>
      <w:r w:rsidRPr="00A618BE">
        <w:rPr>
          <w:rStyle w:val="EndnoteReference"/>
        </w:rPr>
        <w:endnoteReference w:id="111"/>
      </w:r>
      <w:r w:rsidRPr="00A618BE">
        <w:t xml:space="preserve"> IPV in pregnancy is </w:t>
      </w:r>
      <w:r>
        <w:t>also relatively common. For instance, i</w:t>
      </w:r>
      <w:r w:rsidRPr="00A618BE">
        <w:t>n Australia, research suggests that over 5% of first-time mothers are fearful of their partner during pregnancy</w:t>
      </w:r>
      <w:r>
        <w:t>.</w:t>
      </w:r>
      <w:r w:rsidRPr="00A618BE">
        <w:rPr>
          <w:rStyle w:val="EndnoteReference"/>
        </w:rPr>
        <w:endnoteReference w:id="112"/>
      </w:r>
      <w:r w:rsidRPr="00A618BE">
        <w:t xml:space="preserve"> </w:t>
      </w:r>
    </w:p>
    <w:p w14:paraId="75394F9C" w14:textId="60757F57" w:rsidR="00581A5E" w:rsidRDefault="00581A5E" w:rsidP="00D0581F">
      <w:r w:rsidRPr="00A618BE">
        <w:t>Unplanned pregnancy, in and of itself, can also pose a risk to the health of mother and child. These risks include low birthweight, higher infant mortality, poor child health and development outcomes, and maternal depression</w:t>
      </w:r>
      <w:r>
        <w:t>.</w:t>
      </w:r>
      <w:r w:rsidRPr="00A618BE">
        <w:rPr>
          <w:rStyle w:val="EndnoteReference"/>
        </w:rPr>
        <w:endnoteReference w:id="113"/>
      </w:r>
      <w:r w:rsidRPr="00A618BE">
        <w:t xml:space="preserve"> While screening for violence in maternal health settings occurs to varying degrees across Australia, </w:t>
      </w:r>
      <w:r w:rsidR="003670C0">
        <w:t>r</w:t>
      </w:r>
      <w:r w:rsidR="003670C0" w:rsidRPr="00A618BE">
        <w:t xml:space="preserve">eproductive </w:t>
      </w:r>
      <w:r w:rsidR="003670C0">
        <w:t>c</w:t>
      </w:r>
      <w:r w:rsidR="003670C0" w:rsidRPr="00A618BE">
        <w:t>oercion</w:t>
      </w:r>
      <w:r w:rsidR="003670C0">
        <w:t xml:space="preserve"> </w:t>
      </w:r>
      <w:r w:rsidRPr="00A618BE">
        <w:t xml:space="preserve">may be too subtle to identify if it takes place without physical violence. </w:t>
      </w:r>
    </w:p>
    <w:p w14:paraId="32AFFEBF" w14:textId="77777777" w:rsidR="00581A5E" w:rsidRPr="00BE4A29" w:rsidRDefault="00581A5E" w:rsidP="00D0581F">
      <w:pPr>
        <w:rPr>
          <w:b/>
        </w:rPr>
      </w:pPr>
      <w:bookmarkStart w:id="120" w:name="_Toc530573368"/>
      <w:r w:rsidRPr="00BE4A29">
        <w:rPr>
          <w:b/>
        </w:rPr>
        <w:t>Homicide</w:t>
      </w:r>
      <w:bookmarkEnd w:id="120"/>
    </w:p>
    <w:p w14:paraId="24CCAE98" w14:textId="16A30EEA" w:rsidR="00581A5E" w:rsidRPr="00A618BE" w:rsidRDefault="00581A5E" w:rsidP="00D0581F">
      <w:r w:rsidRPr="00A618BE">
        <w:t xml:space="preserve">While there is no specific research on possible associations between </w:t>
      </w:r>
      <w:r w:rsidR="003670C0">
        <w:t>r</w:t>
      </w:r>
      <w:r w:rsidR="003670C0" w:rsidRPr="00A618BE">
        <w:t xml:space="preserve">eproductive </w:t>
      </w:r>
      <w:r w:rsidR="003670C0">
        <w:t>c</w:t>
      </w:r>
      <w:r w:rsidR="003670C0" w:rsidRPr="00A618BE">
        <w:t>oercion</w:t>
      </w:r>
      <w:r w:rsidR="003670C0">
        <w:t xml:space="preserve"> </w:t>
      </w:r>
      <w:r w:rsidRPr="00A618BE">
        <w:t>and homicide, there are clear links between IPV, FV and homicide. In the United States</w:t>
      </w:r>
      <w:r w:rsidR="003670C0">
        <w:t xml:space="preserve"> of America</w:t>
      </w:r>
      <w:r w:rsidRPr="00A618BE">
        <w:t>, over the course of a ten-year period across 18 States, half of all homicides involving a female victim were related to IPV</w:t>
      </w:r>
      <w:r>
        <w:t>.</w:t>
      </w:r>
      <w:r w:rsidRPr="00A618BE">
        <w:rPr>
          <w:rStyle w:val="EndnoteReference"/>
        </w:rPr>
        <w:endnoteReference w:id="114"/>
      </w:r>
      <w:r w:rsidRPr="00A618BE">
        <w:t xml:space="preserve"> In Australia, according to the Australian Institute of Criminology, one woman per week is killed by a current or former partner</w:t>
      </w:r>
      <w:r>
        <w:t>.</w:t>
      </w:r>
      <w:r w:rsidRPr="00A618BE">
        <w:rPr>
          <w:rStyle w:val="EndnoteReference"/>
        </w:rPr>
        <w:endnoteReference w:id="115"/>
      </w:r>
      <w:r w:rsidRPr="00A618BE">
        <w:t xml:space="preserve"> There is, however, </w:t>
      </w:r>
      <w:r>
        <w:t>a dearth of</w:t>
      </w:r>
      <w:r w:rsidRPr="00A618BE">
        <w:t xml:space="preserve"> data on the number of people killed outside cisgender heterosexual relationships as a result of IPV. </w:t>
      </w:r>
    </w:p>
    <w:p w14:paraId="5B52C273" w14:textId="2DB98407" w:rsidR="00581A5E" w:rsidRPr="00A618BE" w:rsidRDefault="00581A5E" w:rsidP="00D0581F">
      <w:r w:rsidRPr="00A618BE">
        <w:t xml:space="preserve">In 2017, the </w:t>
      </w:r>
      <w:r w:rsidRPr="00BE4A29">
        <w:t>Queensland Domestic and Family Violence Death Review and Advisory Board</w:t>
      </w:r>
      <w:r w:rsidRPr="003670C0">
        <w:t xml:space="preserve"> </w:t>
      </w:r>
      <w:r w:rsidRPr="00A618BE">
        <w:t>released a report</w:t>
      </w:r>
      <w:r w:rsidR="003670C0">
        <w:t xml:space="preserve"> (the Queensland Review)</w:t>
      </w:r>
      <w:r w:rsidRPr="00A618BE">
        <w:t xml:space="preserve"> that analysed 263 deaths over a ten-year period. A significant proportion of these deaths involved IPV and coercive or controlling behaviours</w:t>
      </w:r>
      <w:r>
        <w:t xml:space="preserve"> </w:t>
      </w:r>
      <w:r w:rsidRPr="00A618BE">
        <w:t xml:space="preserve">were evident in almost all cases. The report also observed that unless concurrent reports of physical violence were made, reported coercive behaviour </w:t>
      </w:r>
      <w:r>
        <w:t>was not necessarily identified</w:t>
      </w:r>
      <w:r w:rsidRPr="00A618BE">
        <w:t>. Covert forms of coercion and control were often not noticed by services due to their subtly</w:t>
      </w:r>
      <w:r w:rsidRPr="00A618BE" w:rsidDel="00E25370">
        <w:t xml:space="preserve"> </w:t>
      </w:r>
      <w:r w:rsidRPr="00A618BE">
        <w:t xml:space="preserve">and the lack of physical violence. In </w:t>
      </w:r>
      <w:proofErr w:type="gramStart"/>
      <w:r w:rsidRPr="00A618BE">
        <w:t>the majority of</w:t>
      </w:r>
      <w:proofErr w:type="gramEnd"/>
      <w:r w:rsidRPr="00A618BE">
        <w:t xml:space="preserve"> </w:t>
      </w:r>
      <w:r w:rsidR="003670C0">
        <w:t>i</w:t>
      </w:r>
      <w:r w:rsidRPr="00A618BE">
        <w:t xml:space="preserve">ntimate </w:t>
      </w:r>
      <w:r w:rsidR="003670C0">
        <w:t>p</w:t>
      </w:r>
      <w:r w:rsidRPr="00A618BE">
        <w:t xml:space="preserve">artner homicides, obsessive behaviour and sexual jealousy were identified as important precursors.  </w:t>
      </w:r>
    </w:p>
    <w:p w14:paraId="10FAAFB0" w14:textId="410AD2BD" w:rsidR="00581A5E" w:rsidRPr="00A618BE" w:rsidRDefault="00581A5E" w:rsidP="00D0581F">
      <w:r w:rsidRPr="00A618BE">
        <w:t xml:space="preserve">The Queensland Review provides useful insights into indicators of potential escalation in controlling behaviour. The Review also found that while crisis-based responses during high risk situations were imperative, opportunities to identify and respond to low to medium risk situations were important </w:t>
      </w:r>
      <w:proofErr w:type="gramStart"/>
      <w:r w:rsidRPr="00A618BE">
        <w:t>so as to</w:t>
      </w:r>
      <w:proofErr w:type="gramEnd"/>
      <w:r w:rsidRPr="00A618BE">
        <w:t xml:space="preserve"> avoid escalation in coercive and controlling behaviours. The Review put forward a number of recommendations including the need to share information at the early detection stage and to extend response initiatives such as workplace responses to FV</w:t>
      </w:r>
      <w:r>
        <w:t>.</w:t>
      </w:r>
      <w:r w:rsidRPr="00A618BE">
        <w:rPr>
          <w:rStyle w:val="EndnoteReference"/>
        </w:rPr>
        <w:endnoteReference w:id="116"/>
      </w:r>
      <w:r w:rsidRPr="00A618BE">
        <w:t xml:space="preserve"> Given that </w:t>
      </w:r>
      <w:r w:rsidR="003670C0">
        <w:t>r</w:t>
      </w:r>
      <w:r w:rsidR="003670C0" w:rsidRPr="00A618BE">
        <w:t xml:space="preserve">eproductive </w:t>
      </w:r>
      <w:r w:rsidR="003670C0">
        <w:t>c</w:t>
      </w:r>
      <w:r w:rsidR="003670C0" w:rsidRPr="00A618BE">
        <w:t>oercion</w:t>
      </w:r>
      <w:r w:rsidR="003670C0">
        <w:t xml:space="preserve"> </w:t>
      </w:r>
      <w:r w:rsidRPr="00A618BE">
        <w:t>can take place in the absence of physical violence, early detec</w:t>
      </w:r>
      <w:r>
        <w:t>tion, especially before possible</w:t>
      </w:r>
      <w:r w:rsidRPr="00A618BE">
        <w:t xml:space="preserve"> escalation, is challenging</w:t>
      </w:r>
      <w:r>
        <w:t xml:space="preserve">. </w:t>
      </w:r>
      <w:r w:rsidRPr="00A618BE">
        <w:t xml:space="preserve"> </w:t>
      </w:r>
    </w:p>
    <w:p w14:paraId="7C32BAB7" w14:textId="57438077" w:rsidR="00581A5E" w:rsidRPr="00A618BE" w:rsidRDefault="00581A5E" w:rsidP="00D0581F">
      <w:r w:rsidRPr="00A618BE">
        <w:t xml:space="preserve">On a national level, in May 2018 the </w:t>
      </w:r>
      <w:r w:rsidRPr="00BE4A29">
        <w:t>Death Review Network</w:t>
      </w:r>
      <w:r w:rsidRPr="003670C0">
        <w:t xml:space="preserve"> released the </w:t>
      </w:r>
      <w:r w:rsidRPr="00BE4A29">
        <w:t>Australian Domestic and Family Violence Death Review</w:t>
      </w:r>
      <w:r w:rsidRPr="00A618BE">
        <w:t xml:space="preserve">. </w:t>
      </w:r>
      <w:r w:rsidR="003670C0">
        <w:t>It</w:t>
      </w:r>
      <w:r w:rsidRPr="00A618BE">
        <w:t xml:space="preserve"> found that of the 105 cases where a female was killed by a male perpetrator, over 12% involved sexual abuse</w:t>
      </w:r>
      <w:r>
        <w:t>.</w:t>
      </w:r>
      <w:r w:rsidRPr="00A618BE">
        <w:rPr>
          <w:rStyle w:val="EndnoteReference"/>
        </w:rPr>
        <w:endnoteReference w:id="117"/>
      </w:r>
      <w:r>
        <w:t xml:space="preserve"> </w:t>
      </w:r>
      <w:r w:rsidRPr="00A618BE">
        <w:t xml:space="preserve">Coercive behaviour such as that outlined in the Queensland Review was not considered to the same degree in this report. </w:t>
      </w:r>
    </w:p>
    <w:p w14:paraId="4131FF22" w14:textId="5C5E1AD5" w:rsidR="00581A5E" w:rsidRPr="00A618BE" w:rsidRDefault="00581A5E" w:rsidP="00D0581F">
      <w:r w:rsidRPr="00A618BE">
        <w:lastRenderedPageBreak/>
        <w:t xml:space="preserve">The presence of psychosocial abuse, such as </w:t>
      </w:r>
      <w:r w:rsidR="003670C0">
        <w:t>r</w:t>
      </w:r>
      <w:r w:rsidR="003670C0" w:rsidRPr="00A618BE">
        <w:t xml:space="preserve">eproductive </w:t>
      </w:r>
      <w:r w:rsidR="003670C0">
        <w:t>c</w:t>
      </w:r>
      <w:r w:rsidR="003670C0" w:rsidRPr="00A618BE">
        <w:t>oercion</w:t>
      </w:r>
      <w:r w:rsidRPr="00A618BE">
        <w:t>, in the absence of physical violence may provide an early indicator of escalation of violence as psychosocial abuse is often found to precede and co-occur with IPV</w:t>
      </w:r>
      <w:r>
        <w:t>.</w:t>
      </w:r>
      <w:r w:rsidRPr="00A618BE">
        <w:rPr>
          <w:rStyle w:val="EndnoteReference"/>
        </w:rPr>
        <w:endnoteReference w:id="118"/>
      </w:r>
      <w:r w:rsidRPr="00A618BE">
        <w:t xml:space="preserve"> For this reason, healthcare professionals, particularly in the gynaecological, obstetric, maternal, neonatal and sexual and reproductive healthcare (including abortion providers) spheres have a particularly important role to play in early detection and hence prevention of IPV. The incorporation of </w:t>
      </w:r>
      <w:r w:rsidR="003670C0">
        <w:t>r</w:t>
      </w:r>
      <w:r w:rsidR="003670C0" w:rsidRPr="00A618BE">
        <w:t xml:space="preserve">eproductive </w:t>
      </w:r>
      <w:r w:rsidR="003670C0">
        <w:t>c</w:t>
      </w:r>
      <w:r w:rsidR="003670C0" w:rsidRPr="00A618BE">
        <w:t>oercion</w:t>
      </w:r>
      <w:r w:rsidR="003670C0">
        <w:t xml:space="preserve"> </w:t>
      </w:r>
      <w:r w:rsidRPr="00A618BE">
        <w:t>behaviours into law enforcement screening practices may assist with risk assessment and early detection of situations that have the capacity to escalate to more violent and even lethal levels</w:t>
      </w:r>
      <w:r>
        <w:t>.</w:t>
      </w:r>
      <w:r w:rsidRPr="00A618BE">
        <w:rPr>
          <w:rStyle w:val="EndnoteReference"/>
        </w:rPr>
        <w:endnoteReference w:id="119"/>
      </w:r>
    </w:p>
    <w:p w14:paraId="7457127D" w14:textId="03F96F4B" w:rsidR="00581A5E" w:rsidRPr="00F47942" w:rsidRDefault="00581A5E" w:rsidP="00D0581F">
      <w:pPr>
        <w:pStyle w:val="Heading2"/>
        <w:rPr>
          <w:sz w:val="36"/>
        </w:rPr>
      </w:pPr>
      <w:bookmarkStart w:id="121" w:name="_Toc530573369"/>
      <w:bookmarkStart w:id="122" w:name="_Toc57368603"/>
      <w:r w:rsidRPr="00F47942">
        <w:t xml:space="preserve">The role of </w:t>
      </w:r>
      <w:r w:rsidR="003670C0">
        <w:t>h</w:t>
      </w:r>
      <w:r w:rsidRPr="00F47942">
        <w:t xml:space="preserve">ealthcare </w:t>
      </w:r>
      <w:r w:rsidR="003670C0">
        <w:t>p</w:t>
      </w:r>
      <w:r w:rsidRPr="00F47942">
        <w:t xml:space="preserve">rofessionals in </w:t>
      </w:r>
      <w:r w:rsidR="003670C0">
        <w:t>a</w:t>
      </w:r>
      <w:r w:rsidRPr="00F47942">
        <w:t xml:space="preserve">ddressing </w:t>
      </w:r>
      <w:bookmarkEnd w:id="121"/>
      <w:r w:rsidR="003670C0">
        <w:t>reproductive coercion</w:t>
      </w:r>
      <w:bookmarkEnd w:id="122"/>
    </w:p>
    <w:p w14:paraId="4B6D3820" w14:textId="096DA1C4" w:rsidR="00581A5E" w:rsidRPr="00BE4A29" w:rsidRDefault="00581A5E" w:rsidP="00D0581F">
      <w:pPr>
        <w:rPr>
          <w:b/>
        </w:rPr>
      </w:pPr>
      <w:bookmarkStart w:id="123" w:name="_Toc530573370"/>
      <w:r w:rsidRPr="00BE4A29">
        <w:rPr>
          <w:b/>
        </w:rPr>
        <w:t xml:space="preserve">Importance of </w:t>
      </w:r>
      <w:r w:rsidR="003670C0">
        <w:rPr>
          <w:b/>
        </w:rPr>
        <w:t>h</w:t>
      </w:r>
      <w:r w:rsidRPr="00BE4A29">
        <w:rPr>
          <w:b/>
        </w:rPr>
        <w:t xml:space="preserve">ealthcare </w:t>
      </w:r>
      <w:r w:rsidR="003670C0">
        <w:rPr>
          <w:b/>
        </w:rPr>
        <w:t>p</w:t>
      </w:r>
      <w:r w:rsidRPr="00BE4A29">
        <w:rPr>
          <w:b/>
        </w:rPr>
        <w:t>rofessionals</w:t>
      </w:r>
      <w:bookmarkEnd w:id="123"/>
    </w:p>
    <w:p w14:paraId="4C3F88D4" w14:textId="5E47D63A" w:rsidR="0085333A" w:rsidRDefault="00581A5E" w:rsidP="00D0581F">
      <w:r w:rsidRPr="00A618BE">
        <w:t xml:space="preserve">Healthcare professionals play a critical role in identifying and responding to </w:t>
      </w:r>
      <w:r w:rsidR="003670C0">
        <w:t>r</w:t>
      </w:r>
      <w:r w:rsidR="003670C0" w:rsidRPr="00A618BE">
        <w:t xml:space="preserve">eproductive </w:t>
      </w:r>
      <w:r w:rsidR="003670C0">
        <w:t>c</w:t>
      </w:r>
      <w:r w:rsidR="003670C0" w:rsidRPr="00A618BE">
        <w:t>oercion</w:t>
      </w:r>
      <w:r>
        <w:t>.</w:t>
      </w:r>
      <w:r w:rsidRPr="00A618BE">
        <w:rPr>
          <w:rStyle w:val="EndnoteReference"/>
        </w:rPr>
        <w:endnoteReference w:id="120"/>
      </w:r>
      <w:r w:rsidRPr="00A618BE">
        <w:t xml:space="preserve">  Healthcare professionals working in </w:t>
      </w:r>
      <w:r>
        <w:t>general p</w:t>
      </w:r>
      <w:r w:rsidRPr="00A618BE">
        <w:t xml:space="preserve">ractice, gynaecology and obstetrics, sexual and reproductive health clinics and specialists including abortion providers and STI treatment facilities, fertility specialists, emergency departments and maternal and neonatal health settings will almost certainly be exposed to </w:t>
      </w:r>
      <w:r w:rsidR="003670C0">
        <w:t>r</w:t>
      </w:r>
      <w:r w:rsidR="003670C0" w:rsidRPr="00A618BE">
        <w:t xml:space="preserve">eproductive </w:t>
      </w:r>
      <w:r w:rsidR="003670C0">
        <w:t>c</w:t>
      </w:r>
      <w:r w:rsidR="003670C0" w:rsidRPr="00A618BE">
        <w:t>oercion</w:t>
      </w:r>
      <w:r w:rsidR="003670C0">
        <w:t xml:space="preserve"> </w:t>
      </w:r>
      <w:r w:rsidRPr="00A618BE">
        <w:t>during their careers.</w:t>
      </w:r>
      <w:r w:rsidRPr="00A618BE">
        <w:rPr>
          <w:rStyle w:val="EndnoteReference"/>
        </w:rPr>
        <w:endnoteReference w:id="121"/>
      </w:r>
      <w:r w:rsidRPr="00A618BE">
        <w:t xml:space="preserve"> </w:t>
      </w:r>
    </w:p>
    <w:p w14:paraId="32A889B2" w14:textId="62814F29" w:rsidR="00581A5E" w:rsidRPr="00A618BE" w:rsidRDefault="00581A5E" w:rsidP="00D0581F">
      <w:r w:rsidRPr="00A618BE">
        <w:t xml:space="preserve">According to the ABS </w:t>
      </w:r>
      <w:r w:rsidR="003670C0">
        <w:t>c</w:t>
      </w:r>
      <w:r w:rsidRPr="00A618BE">
        <w:t xml:space="preserve">ensus </w:t>
      </w:r>
      <w:r w:rsidR="003670C0">
        <w:t>d</w:t>
      </w:r>
      <w:r w:rsidRPr="00A618BE">
        <w:t>ata for 2016, eight in ten Australians have visited a GP in the past year. Additionally, research indicates that people experiencing IPV, particularly women, access healthcare more often than people who do not experience IPV</w:t>
      </w:r>
      <w:r>
        <w:t>.</w:t>
      </w:r>
      <w:r w:rsidRPr="00A618BE">
        <w:rPr>
          <w:rStyle w:val="EndnoteReference"/>
        </w:rPr>
        <w:endnoteReference w:id="122"/>
      </w:r>
      <w:r w:rsidRPr="00A618BE">
        <w:t xml:space="preserve"> </w:t>
      </w:r>
    </w:p>
    <w:p w14:paraId="06B74510" w14:textId="33515894" w:rsidR="00581A5E" w:rsidRPr="00A618BE" w:rsidRDefault="00581A5E" w:rsidP="00D0581F">
      <w:r w:rsidRPr="00A618BE">
        <w:t xml:space="preserve">While healthcare providers are well placed to respond to </w:t>
      </w:r>
      <w:r w:rsidR="003670C0">
        <w:t>r</w:t>
      </w:r>
      <w:r w:rsidR="003670C0" w:rsidRPr="00A618BE">
        <w:t xml:space="preserve">eproductive </w:t>
      </w:r>
      <w:r w:rsidR="003670C0">
        <w:t>c</w:t>
      </w:r>
      <w:r w:rsidR="003670C0" w:rsidRPr="00A618BE">
        <w:t>oercion</w:t>
      </w:r>
      <w:r w:rsidRPr="00A618BE">
        <w:t xml:space="preserve">, there is limited research on how best to address the issue of </w:t>
      </w:r>
      <w:r w:rsidR="003670C0">
        <w:t>r</w:t>
      </w:r>
      <w:r w:rsidR="003670C0" w:rsidRPr="00A618BE">
        <w:t xml:space="preserve">eproductive </w:t>
      </w:r>
      <w:r w:rsidR="003670C0">
        <w:t>c</w:t>
      </w:r>
      <w:r w:rsidR="003670C0" w:rsidRPr="00A618BE">
        <w:t>oercion</w:t>
      </w:r>
      <w:r w:rsidR="003670C0">
        <w:t xml:space="preserve"> </w:t>
      </w:r>
      <w:r w:rsidRPr="00A618BE">
        <w:t>within healthcare settings and with healthcare professionals</w:t>
      </w:r>
      <w:r>
        <w:t>.</w:t>
      </w:r>
      <w:r w:rsidRPr="00A618BE">
        <w:rPr>
          <w:rStyle w:val="EndnoteReference"/>
        </w:rPr>
        <w:endnoteReference w:id="123"/>
      </w:r>
      <w:r w:rsidRPr="00A618BE">
        <w:t xml:space="preserve"> The limited research available does suggest a range of barriers to healthcare workers screening for and responding to </w:t>
      </w:r>
      <w:r w:rsidR="003670C0">
        <w:t>r</w:t>
      </w:r>
      <w:r w:rsidR="003670C0" w:rsidRPr="00A618BE">
        <w:t xml:space="preserve">eproductive </w:t>
      </w:r>
      <w:r w:rsidR="003670C0">
        <w:t>c</w:t>
      </w:r>
      <w:r w:rsidR="003670C0" w:rsidRPr="00A618BE">
        <w:t>oercion</w:t>
      </w:r>
      <w:r w:rsidRPr="00A618BE">
        <w:t>, including:</w:t>
      </w:r>
    </w:p>
    <w:p w14:paraId="3FE130A8" w14:textId="1CFC36BA" w:rsidR="00581A5E" w:rsidRPr="00A618BE" w:rsidRDefault="00395267" w:rsidP="00D0581F">
      <w:pPr>
        <w:pStyle w:val="ListParagraph"/>
        <w:numPr>
          <w:ilvl w:val="0"/>
          <w:numId w:val="24"/>
        </w:numPr>
        <w:spacing w:before="240" w:after="240"/>
      </w:pPr>
      <w:r>
        <w:t>i</w:t>
      </w:r>
      <w:r w:rsidR="00581A5E" w:rsidRPr="00A618BE">
        <w:t>nsufficient time particularly in busy healthcare settings</w:t>
      </w:r>
      <w:r w:rsidR="00581A5E" w:rsidRPr="00A618BE">
        <w:rPr>
          <w:rStyle w:val="EndnoteReference"/>
        </w:rPr>
        <w:endnoteReference w:id="124"/>
      </w:r>
    </w:p>
    <w:p w14:paraId="3D147F90" w14:textId="12CC450E" w:rsidR="00581A5E" w:rsidRPr="00A618BE" w:rsidRDefault="00395267" w:rsidP="00D0581F">
      <w:pPr>
        <w:pStyle w:val="ListParagraph"/>
        <w:numPr>
          <w:ilvl w:val="0"/>
          <w:numId w:val="24"/>
        </w:numPr>
        <w:spacing w:before="240" w:after="240"/>
      </w:pPr>
      <w:r>
        <w:t>h</w:t>
      </w:r>
      <w:r w:rsidR="00581A5E" w:rsidRPr="00A618BE">
        <w:t>ealth worker discomfort with the subject</w:t>
      </w:r>
      <w:r w:rsidR="00581A5E" w:rsidRPr="00A618BE">
        <w:rPr>
          <w:rStyle w:val="EndnoteReference"/>
        </w:rPr>
        <w:endnoteReference w:id="125"/>
      </w:r>
    </w:p>
    <w:p w14:paraId="566E8BAE" w14:textId="4181E880" w:rsidR="00581A5E" w:rsidRPr="00A618BE" w:rsidRDefault="00395267" w:rsidP="00D0581F">
      <w:pPr>
        <w:pStyle w:val="ListParagraph"/>
        <w:numPr>
          <w:ilvl w:val="0"/>
          <w:numId w:val="24"/>
        </w:numPr>
        <w:spacing w:before="240" w:after="240"/>
      </w:pPr>
      <w:r>
        <w:t>h</w:t>
      </w:r>
      <w:r w:rsidR="00581A5E" w:rsidRPr="00A618BE">
        <w:t>ealth worker not feeling adequately equipped or prepared for disclosures</w:t>
      </w:r>
      <w:r w:rsidR="00581A5E" w:rsidRPr="00A618BE">
        <w:rPr>
          <w:rStyle w:val="EndnoteReference"/>
        </w:rPr>
        <w:endnoteReference w:id="126"/>
      </w:r>
      <w:r w:rsidR="00581A5E" w:rsidRPr="00A618BE">
        <w:t xml:space="preserve"> </w:t>
      </w:r>
    </w:p>
    <w:p w14:paraId="69F18047" w14:textId="6DC63DE7" w:rsidR="00581A5E" w:rsidRPr="00A618BE" w:rsidRDefault="00395267" w:rsidP="00D0581F">
      <w:pPr>
        <w:pStyle w:val="ListParagraph"/>
        <w:numPr>
          <w:ilvl w:val="0"/>
          <w:numId w:val="24"/>
        </w:numPr>
        <w:spacing w:before="240" w:after="240"/>
      </w:pPr>
      <w:r>
        <w:t>l</w:t>
      </w:r>
      <w:r w:rsidR="00581A5E" w:rsidRPr="00A618BE">
        <w:t>ack of known referral pathways for disclosures and patients/ clients seeking help</w:t>
      </w:r>
      <w:r w:rsidR="00F45A56">
        <w:t>.</w:t>
      </w:r>
      <w:r w:rsidR="00581A5E" w:rsidRPr="00A618BE">
        <w:rPr>
          <w:rStyle w:val="EndnoteReference"/>
        </w:rPr>
        <w:endnoteReference w:id="127"/>
      </w:r>
    </w:p>
    <w:p w14:paraId="70D31D79" w14:textId="52BFFB42" w:rsidR="00581A5E" w:rsidRPr="00A618BE" w:rsidRDefault="00581A5E" w:rsidP="00D0581F">
      <w:r w:rsidRPr="00A618BE">
        <w:t xml:space="preserve">Initiatives to engage health workers in </w:t>
      </w:r>
      <w:r w:rsidR="003670C0">
        <w:t>r</w:t>
      </w:r>
      <w:r w:rsidR="003670C0" w:rsidRPr="00A618BE">
        <w:t xml:space="preserve">eproductive </w:t>
      </w:r>
      <w:r w:rsidR="003670C0">
        <w:t>c</w:t>
      </w:r>
      <w:r w:rsidR="003670C0" w:rsidRPr="00A618BE">
        <w:t>oercion</w:t>
      </w:r>
      <w:r w:rsidR="003670C0">
        <w:t xml:space="preserve"> </w:t>
      </w:r>
      <w:r w:rsidRPr="00A618BE">
        <w:t>screening and responses will need to account for these challenges.</w:t>
      </w:r>
    </w:p>
    <w:p w14:paraId="6E1EAA8F" w14:textId="73E768FD" w:rsidR="00581A5E" w:rsidRPr="00BE4A29" w:rsidRDefault="00581A5E" w:rsidP="00D0581F">
      <w:pPr>
        <w:rPr>
          <w:b/>
        </w:rPr>
      </w:pPr>
      <w:bookmarkStart w:id="124" w:name="_Toc530573371"/>
      <w:r w:rsidRPr="00BE4A29">
        <w:rPr>
          <w:b/>
        </w:rPr>
        <w:t xml:space="preserve">Current </w:t>
      </w:r>
      <w:r w:rsidR="00395267">
        <w:rPr>
          <w:b/>
        </w:rPr>
        <w:t>s</w:t>
      </w:r>
      <w:r w:rsidRPr="00BE4A29">
        <w:rPr>
          <w:b/>
        </w:rPr>
        <w:t xml:space="preserve">upport for </w:t>
      </w:r>
      <w:r w:rsidR="00395267">
        <w:rPr>
          <w:b/>
        </w:rPr>
        <w:t>h</w:t>
      </w:r>
      <w:r w:rsidRPr="00BE4A29">
        <w:rPr>
          <w:b/>
        </w:rPr>
        <w:t xml:space="preserve">ealthcare </w:t>
      </w:r>
      <w:r w:rsidR="00395267">
        <w:rPr>
          <w:b/>
        </w:rPr>
        <w:t>p</w:t>
      </w:r>
      <w:r w:rsidRPr="00BE4A29">
        <w:rPr>
          <w:b/>
        </w:rPr>
        <w:t>rofessionals</w:t>
      </w:r>
      <w:bookmarkEnd w:id="124"/>
    </w:p>
    <w:p w14:paraId="7A9FA178" w14:textId="77777777" w:rsidR="00395267" w:rsidRDefault="00581A5E" w:rsidP="00D0581F">
      <w:r w:rsidRPr="00A618BE">
        <w:t xml:space="preserve">Many of the submissions to the </w:t>
      </w:r>
      <w:r w:rsidR="00B56730">
        <w:t>w</w:t>
      </w:r>
      <w:r w:rsidRPr="00A618BE">
        <w:t xml:space="preserve">hite </w:t>
      </w:r>
      <w:r w:rsidR="00B56730">
        <w:t>p</w:t>
      </w:r>
      <w:r w:rsidRPr="00A618BE">
        <w:t xml:space="preserve">aper highlighted the important role that healthcare professionals play in addressing </w:t>
      </w:r>
      <w:r w:rsidR="003670C0">
        <w:t>r</w:t>
      </w:r>
      <w:r w:rsidR="003670C0" w:rsidRPr="00A618BE">
        <w:t xml:space="preserve">eproductive </w:t>
      </w:r>
      <w:r w:rsidR="003670C0">
        <w:t>c</w:t>
      </w:r>
      <w:r w:rsidR="003670C0" w:rsidRPr="00A618BE">
        <w:t>oercion</w:t>
      </w:r>
      <w:r w:rsidRPr="00A618BE">
        <w:t xml:space="preserve">. There are, however, limited tools and no specific guidelines for how to identify and address the issue of </w:t>
      </w:r>
      <w:r w:rsidR="003670C0">
        <w:t>r</w:t>
      </w:r>
      <w:r w:rsidR="003670C0" w:rsidRPr="00A618BE">
        <w:t xml:space="preserve">eproductive </w:t>
      </w:r>
      <w:r w:rsidR="003670C0">
        <w:t>c</w:t>
      </w:r>
      <w:r w:rsidR="003670C0" w:rsidRPr="00A618BE">
        <w:t>oercion</w:t>
      </w:r>
      <w:r w:rsidR="003670C0">
        <w:t xml:space="preserve"> </w:t>
      </w:r>
      <w:r w:rsidRPr="00A618BE">
        <w:t xml:space="preserve">in healthcare settings in Australia. </w:t>
      </w:r>
    </w:p>
    <w:p w14:paraId="298216AD" w14:textId="0FB3AA79" w:rsidR="00581A5E" w:rsidRPr="00A618BE" w:rsidRDefault="00581A5E" w:rsidP="00D0581F">
      <w:r w:rsidRPr="00A618BE">
        <w:lastRenderedPageBreak/>
        <w:t xml:space="preserve">As part of this </w:t>
      </w:r>
      <w:r w:rsidR="00B56730">
        <w:t>w</w:t>
      </w:r>
      <w:r w:rsidRPr="00A618BE">
        <w:t xml:space="preserve">hite </w:t>
      </w:r>
      <w:r w:rsidR="00B56730">
        <w:t>p</w:t>
      </w:r>
      <w:r w:rsidRPr="00A618BE">
        <w:t xml:space="preserve">aper we will explore tools available for health professionals in Australia and overseas, as these provide a good starting point to develop further resources.  </w:t>
      </w:r>
    </w:p>
    <w:p w14:paraId="7EACC5E2" w14:textId="28AC6C41" w:rsidR="00581A5E" w:rsidRPr="00331F71" w:rsidRDefault="00581A5E" w:rsidP="00D0581F">
      <w:pPr>
        <w:rPr>
          <w:b/>
        </w:rPr>
      </w:pPr>
      <w:r w:rsidRPr="00331F71">
        <w:rPr>
          <w:b/>
        </w:rPr>
        <w:t xml:space="preserve">Risk </w:t>
      </w:r>
      <w:r w:rsidR="003670C0">
        <w:rPr>
          <w:b/>
        </w:rPr>
        <w:t>a</w:t>
      </w:r>
      <w:r w:rsidRPr="00331F71">
        <w:rPr>
          <w:b/>
        </w:rPr>
        <w:t xml:space="preserve">ssessment, </w:t>
      </w:r>
      <w:r w:rsidR="003670C0">
        <w:rPr>
          <w:b/>
        </w:rPr>
        <w:t>s</w:t>
      </w:r>
      <w:r w:rsidRPr="00331F71">
        <w:rPr>
          <w:b/>
        </w:rPr>
        <w:t xml:space="preserve">creening, </w:t>
      </w:r>
      <w:r w:rsidR="003670C0">
        <w:rPr>
          <w:b/>
        </w:rPr>
        <w:t>p</w:t>
      </w:r>
      <w:r w:rsidRPr="00331F71">
        <w:rPr>
          <w:b/>
        </w:rPr>
        <w:t xml:space="preserve">rovider </w:t>
      </w:r>
      <w:r w:rsidR="003670C0">
        <w:rPr>
          <w:b/>
        </w:rPr>
        <w:t>e</w:t>
      </w:r>
      <w:r w:rsidRPr="00331F71">
        <w:rPr>
          <w:b/>
        </w:rPr>
        <w:t xml:space="preserve">ducation and </w:t>
      </w:r>
      <w:r w:rsidR="003670C0">
        <w:rPr>
          <w:b/>
        </w:rPr>
        <w:t>h</w:t>
      </w:r>
      <w:r w:rsidRPr="00331F71">
        <w:rPr>
          <w:b/>
        </w:rPr>
        <w:t xml:space="preserve">ealthcare </w:t>
      </w:r>
      <w:r w:rsidR="003670C0">
        <w:rPr>
          <w:b/>
        </w:rPr>
        <w:t>p</w:t>
      </w:r>
      <w:r w:rsidRPr="00331F71">
        <w:rPr>
          <w:b/>
        </w:rPr>
        <w:t xml:space="preserve">rovider </w:t>
      </w:r>
      <w:r w:rsidR="003670C0">
        <w:rPr>
          <w:b/>
        </w:rPr>
        <w:t>r</w:t>
      </w:r>
      <w:r w:rsidRPr="00331F71">
        <w:rPr>
          <w:b/>
        </w:rPr>
        <w:t xml:space="preserve">esponse </w:t>
      </w:r>
      <w:r w:rsidR="003670C0">
        <w:rPr>
          <w:b/>
        </w:rPr>
        <w:t>s</w:t>
      </w:r>
      <w:r w:rsidRPr="00331F71">
        <w:rPr>
          <w:b/>
        </w:rPr>
        <w:t>upport</w:t>
      </w:r>
    </w:p>
    <w:p w14:paraId="4530638A" w14:textId="1E76835E" w:rsidR="00581A5E" w:rsidRPr="00A618BE" w:rsidRDefault="00581A5E" w:rsidP="00D0581F">
      <w:r w:rsidRPr="00A618BE">
        <w:t xml:space="preserve">There is relatively little research on the effectiveness of screening tools and their application for interventions that address </w:t>
      </w:r>
      <w:r w:rsidR="003670C0">
        <w:t>r</w:t>
      </w:r>
      <w:r w:rsidR="003670C0" w:rsidRPr="00A618BE">
        <w:t xml:space="preserve">eproductive </w:t>
      </w:r>
      <w:r w:rsidR="003670C0">
        <w:t>c</w:t>
      </w:r>
      <w:r w:rsidR="003670C0" w:rsidRPr="00A618BE">
        <w:t>oercion</w:t>
      </w:r>
      <w:r w:rsidR="003670C0">
        <w:t xml:space="preserve"> </w:t>
      </w:r>
      <w:r w:rsidRPr="00A618BE">
        <w:t xml:space="preserve">in healthcare settings. In North America, research suggests that screening tools for IPV and </w:t>
      </w:r>
      <w:r w:rsidR="003670C0">
        <w:t>r</w:t>
      </w:r>
      <w:r w:rsidR="003670C0" w:rsidRPr="00A618BE">
        <w:t xml:space="preserve">eproductive </w:t>
      </w:r>
      <w:r w:rsidR="003670C0">
        <w:t>c</w:t>
      </w:r>
      <w:r w:rsidR="003670C0" w:rsidRPr="00A618BE">
        <w:t>oercion</w:t>
      </w:r>
      <w:r w:rsidR="003670C0">
        <w:t xml:space="preserve"> </w:t>
      </w:r>
      <w:r w:rsidRPr="00A618BE">
        <w:t>have had limited uptake, including in sexual and reproductive health settings where there is generally greater investment in screening initiatives</w:t>
      </w:r>
      <w:r>
        <w:t>.</w:t>
      </w:r>
      <w:r w:rsidRPr="00A618BE">
        <w:rPr>
          <w:rStyle w:val="EndnoteReference"/>
        </w:rPr>
        <w:endnoteReference w:id="128"/>
      </w:r>
      <w:r w:rsidRPr="00A618BE">
        <w:t xml:space="preserve"> Similarly, education of healthcare professionals coupled with screening has also shown limited effectiveness in improving screening and interventions for IPV</w:t>
      </w:r>
      <w:r>
        <w:t>.</w:t>
      </w:r>
      <w:r w:rsidRPr="00A618BE">
        <w:rPr>
          <w:rStyle w:val="EndnoteReference"/>
        </w:rPr>
        <w:endnoteReference w:id="129"/>
      </w:r>
      <w:r w:rsidRPr="00A618BE">
        <w:t xml:space="preserve"> However, this education was focused on the screening tool rather than equipping healthcare professionals with the skills to have a conversation with a client experiencing IPV and/or </w:t>
      </w:r>
      <w:r w:rsidR="009260BB">
        <w:t>r</w:t>
      </w:r>
      <w:r w:rsidR="009260BB" w:rsidRPr="00A618BE">
        <w:t xml:space="preserve">eproductive </w:t>
      </w:r>
      <w:r w:rsidR="009260BB">
        <w:t>c</w:t>
      </w:r>
      <w:r w:rsidR="009260BB" w:rsidRPr="00A618BE">
        <w:t>oercion</w:t>
      </w:r>
      <w:r>
        <w:t>.</w:t>
      </w:r>
      <w:r w:rsidRPr="00A618BE">
        <w:rPr>
          <w:rStyle w:val="EndnoteReference"/>
        </w:rPr>
        <w:endnoteReference w:id="130"/>
      </w:r>
      <w:r w:rsidRPr="00A618BE">
        <w:t xml:space="preserve"> A recent study assessing different methods of healthcare provider education on IPV and </w:t>
      </w:r>
      <w:r w:rsidR="009260BB">
        <w:t>r</w:t>
      </w:r>
      <w:r w:rsidR="009260BB" w:rsidRPr="00A618BE">
        <w:t xml:space="preserve">eproductive </w:t>
      </w:r>
      <w:r w:rsidR="009260BB">
        <w:t>c</w:t>
      </w:r>
      <w:r w:rsidR="009260BB" w:rsidRPr="00A618BE">
        <w:t>oercion</w:t>
      </w:r>
      <w:r w:rsidR="009260BB">
        <w:t xml:space="preserve"> </w:t>
      </w:r>
      <w:r w:rsidRPr="00A618BE">
        <w:t xml:space="preserve">indicated that knowledge-based training significantly improved communications to patients/ clients about IPV and </w:t>
      </w:r>
      <w:r w:rsidR="009260BB">
        <w:t>r</w:t>
      </w:r>
      <w:r w:rsidR="009260BB" w:rsidRPr="00A618BE">
        <w:t xml:space="preserve">eproductive </w:t>
      </w:r>
      <w:r w:rsidR="009260BB">
        <w:t>c</w:t>
      </w:r>
      <w:r w:rsidR="009260BB" w:rsidRPr="00A618BE">
        <w:t>oercion</w:t>
      </w:r>
      <w:r>
        <w:t>.</w:t>
      </w:r>
      <w:r w:rsidRPr="00A618BE">
        <w:rPr>
          <w:rStyle w:val="EndnoteReference"/>
        </w:rPr>
        <w:endnoteReference w:id="131"/>
      </w:r>
      <w:r w:rsidRPr="00A618BE">
        <w:t xml:space="preserve"> These findings underscore the importance of ensuring screening measures are accompanied with appropriate knowledge-based training that equips providers to confidently and sensitively address IPV and </w:t>
      </w:r>
      <w:r w:rsidR="009260BB">
        <w:t>r</w:t>
      </w:r>
      <w:r w:rsidR="009260BB" w:rsidRPr="00A618BE">
        <w:t xml:space="preserve">eproductive </w:t>
      </w:r>
      <w:r w:rsidR="009260BB">
        <w:t>c</w:t>
      </w:r>
      <w:r w:rsidR="009260BB" w:rsidRPr="00A618BE">
        <w:t>oercion</w:t>
      </w:r>
      <w:r w:rsidR="009260BB">
        <w:t xml:space="preserve"> </w:t>
      </w:r>
      <w:r w:rsidRPr="00A618BE">
        <w:t xml:space="preserve">with clients. </w:t>
      </w:r>
    </w:p>
    <w:p w14:paraId="6C678976" w14:textId="13E152A7" w:rsidR="00581A5E" w:rsidRPr="00A618BE" w:rsidRDefault="00581A5E" w:rsidP="00D0581F">
      <w:r w:rsidRPr="00A618BE">
        <w:t xml:space="preserve">In Australia, </w:t>
      </w:r>
      <w:proofErr w:type="gramStart"/>
      <w:r w:rsidRPr="00A618BE">
        <w:t>a number of</w:t>
      </w:r>
      <w:proofErr w:type="gramEnd"/>
      <w:r w:rsidRPr="00A618BE">
        <w:t xml:space="preserve"> initiatives exist to help healthcare providers identify, and respond to </w:t>
      </w:r>
      <w:r>
        <w:t>FV</w:t>
      </w:r>
      <w:r w:rsidRPr="00A618BE">
        <w:t xml:space="preserve">, IPV, SV and, to a lesser degree, </w:t>
      </w:r>
      <w:r w:rsidR="009260BB">
        <w:t>r</w:t>
      </w:r>
      <w:r w:rsidR="009260BB" w:rsidRPr="00A618BE">
        <w:t xml:space="preserve">eproductive </w:t>
      </w:r>
      <w:r w:rsidR="009260BB">
        <w:t>c</w:t>
      </w:r>
      <w:r w:rsidR="009260BB" w:rsidRPr="00A618BE">
        <w:t>oercion</w:t>
      </w:r>
      <w:r w:rsidRPr="00A618BE">
        <w:t xml:space="preserve">. The table at Annex 1 provides an overview of identified resources and initiatives. Forthcoming research on </w:t>
      </w:r>
      <w:r w:rsidR="00194CC8">
        <w:t>r</w:t>
      </w:r>
      <w:r w:rsidR="00194CC8" w:rsidRPr="00A618BE">
        <w:t xml:space="preserve">eproductive </w:t>
      </w:r>
      <w:r w:rsidR="00194CC8">
        <w:t>c</w:t>
      </w:r>
      <w:r w:rsidR="00194CC8" w:rsidRPr="00A618BE">
        <w:t>oercion</w:t>
      </w:r>
      <w:r w:rsidR="00194CC8">
        <w:t xml:space="preserve"> </w:t>
      </w:r>
      <w:r w:rsidRPr="00A618BE">
        <w:t>screening and response in healthcare settings by the University of Melbourne, the Centre of Research Excellence in Sexual and Reproductive Health for Women and Sexual Health Quarters (SHQ) will also add to this body of knowledge.</w:t>
      </w:r>
    </w:p>
    <w:p w14:paraId="5B115606" w14:textId="4510F985" w:rsidR="00581A5E" w:rsidRPr="00A618BE" w:rsidRDefault="00581A5E" w:rsidP="00D0581F">
      <w:r w:rsidRPr="00A618BE">
        <w:t>All states and territories apart from the Australian Capital Territory</w:t>
      </w:r>
      <w:r w:rsidR="00EC4CC0">
        <w:t xml:space="preserve"> (ACT)</w:t>
      </w:r>
      <w:r w:rsidRPr="00A618BE">
        <w:t xml:space="preserve"> have healthcare practitioner guidance regarding identifying </w:t>
      </w:r>
      <w:r>
        <w:t>FV</w:t>
      </w:r>
      <w:r w:rsidRPr="00A618BE">
        <w:t>. While screening questions vary across jurisdictions, common questions include:</w:t>
      </w:r>
    </w:p>
    <w:p w14:paraId="431DFC38" w14:textId="59027DAA" w:rsidR="00581A5E" w:rsidRPr="00A618BE" w:rsidRDefault="00581A5E" w:rsidP="00D0581F">
      <w:pPr>
        <w:pStyle w:val="ListParagraph"/>
        <w:numPr>
          <w:ilvl w:val="0"/>
          <w:numId w:val="25"/>
        </w:numPr>
        <w:spacing w:before="240" w:after="240"/>
      </w:pPr>
      <w:r w:rsidRPr="00A618BE">
        <w:t xml:space="preserve">Within the last year, have you (ever) been hit, </w:t>
      </w:r>
      <w:proofErr w:type="gramStart"/>
      <w:r w:rsidRPr="00A618BE">
        <w:t>slapped</w:t>
      </w:r>
      <w:proofErr w:type="gramEnd"/>
      <w:r w:rsidRPr="00A618BE">
        <w:t xml:space="preserve"> or hurt in other ways by your partner or ex-partner? OR (In the last year,) has (your partner or) someone in your family or household ever pushed, hit, kicked, </w:t>
      </w:r>
      <w:proofErr w:type="gramStart"/>
      <w:r w:rsidRPr="00A618BE">
        <w:t>punched</w:t>
      </w:r>
      <w:proofErr w:type="gramEnd"/>
      <w:r w:rsidRPr="00A618BE">
        <w:t xml:space="preserve"> or otherwise hurt you?</w:t>
      </w:r>
    </w:p>
    <w:p w14:paraId="7061DA97" w14:textId="4F9BD360" w:rsidR="00581A5E" w:rsidRPr="00A618BE" w:rsidRDefault="00581A5E" w:rsidP="00D0581F">
      <w:pPr>
        <w:pStyle w:val="ListParagraph"/>
        <w:numPr>
          <w:ilvl w:val="0"/>
          <w:numId w:val="25"/>
        </w:numPr>
        <w:spacing w:before="240" w:after="240"/>
      </w:pPr>
      <w:r w:rsidRPr="00A618BE">
        <w:t>Are you (ever) afraid of your partner or ex-partner (or someone in your family)?</w:t>
      </w:r>
    </w:p>
    <w:p w14:paraId="750BC26C" w14:textId="2808E3F1" w:rsidR="00581A5E" w:rsidRPr="00A618BE" w:rsidRDefault="00581A5E" w:rsidP="00D0581F">
      <w:pPr>
        <w:pStyle w:val="ListParagraph"/>
        <w:numPr>
          <w:ilvl w:val="0"/>
          <w:numId w:val="25"/>
        </w:numPr>
        <w:spacing w:before="240" w:after="240"/>
      </w:pPr>
      <w:r w:rsidRPr="00A618BE">
        <w:t>(In the last year) has (your partner or) someone in your family or household ever (often) put you down, humiliated you or tried to control what you can or cannot do?</w:t>
      </w:r>
    </w:p>
    <w:p w14:paraId="5F2E94E8" w14:textId="781D54C3" w:rsidR="00581A5E" w:rsidRPr="00A618BE" w:rsidRDefault="00581A5E" w:rsidP="00D0581F">
      <w:pPr>
        <w:pStyle w:val="ListParagraph"/>
        <w:numPr>
          <w:ilvl w:val="0"/>
          <w:numId w:val="25"/>
        </w:numPr>
        <w:spacing w:before="240" w:after="240"/>
      </w:pPr>
      <w:r w:rsidRPr="00A618BE">
        <w:t>(In the last year), has your partner or ex-partner (ever hurt or) threatened to hurt you (in any way)?</w:t>
      </w:r>
    </w:p>
    <w:p w14:paraId="191362DF" w14:textId="77777777" w:rsidR="00581A5E" w:rsidRPr="00A618BE" w:rsidRDefault="00581A5E" w:rsidP="00D0581F">
      <w:pPr>
        <w:pStyle w:val="ListParagraph"/>
        <w:numPr>
          <w:ilvl w:val="0"/>
          <w:numId w:val="25"/>
        </w:numPr>
        <w:spacing w:before="240" w:after="240"/>
      </w:pPr>
      <w:r w:rsidRPr="00A618BE">
        <w:t>Would you like help with any of this now</w:t>
      </w:r>
      <w:r>
        <w:t>?</w:t>
      </w:r>
      <w:r w:rsidRPr="00A618BE">
        <w:rPr>
          <w:rStyle w:val="EndnoteReference"/>
        </w:rPr>
        <w:endnoteReference w:id="132"/>
      </w:r>
    </w:p>
    <w:p w14:paraId="17C4CFA5" w14:textId="21D10F17" w:rsidR="00581A5E" w:rsidRPr="00452411" w:rsidRDefault="00581A5E" w:rsidP="00D0581F">
      <w:r w:rsidRPr="00A618BE">
        <w:lastRenderedPageBreak/>
        <w:t xml:space="preserve">There are currently no standalone screening tools for </w:t>
      </w:r>
      <w:r w:rsidR="00452411">
        <w:t>r</w:t>
      </w:r>
      <w:r w:rsidR="00452411" w:rsidRPr="00A618BE">
        <w:t xml:space="preserve">eproductive </w:t>
      </w:r>
      <w:r w:rsidR="00452411">
        <w:t>c</w:t>
      </w:r>
      <w:r w:rsidR="00452411" w:rsidRPr="00A618BE">
        <w:t>oercion</w:t>
      </w:r>
      <w:r w:rsidR="00452411">
        <w:t xml:space="preserve"> </w:t>
      </w:r>
      <w:r w:rsidRPr="00A618BE">
        <w:t xml:space="preserve">apart from the program, </w:t>
      </w:r>
      <w:r w:rsidRPr="00BE4A29">
        <w:t>Screening to Safety</w:t>
      </w:r>
      <w:r w:rsidRPr="00452411">
        <w:t xml:space="preserve">, developed by Children </w:t>
      </w:r>
      <w:r w:rsidR="00452411" w:rsidRPr="00452411">
        <w:t>b</w:t>
      </w:r>
      <w:r w:rsidRPr="00452411">
        <w:t xml:space="preserve">y Choice. </w:t>
      </w:r>
      <w:r w:rsidR="00452411" w:rsidRPr="00452411">
        <w:t xml:space="preserve">Reproductive coercion </w:t>
      </w:r>
      <w:r w:rsidRPr="00452411">
        <w:t xml:space="preserve">is not included in almost </w:t>
      </w:r>
      <w:proofErr w:type="gramStart"/>
      <w:r w:rsidRPr="00452411">
        <w:t>all of</w:t>
      </w:r>
      <w:proofErr w:type="gramEnd"/>
      <w:r w:rsidRPr="00452411">
        <w:t xml:space="preserve"> the current healthcare practitioner tools. Given that behaviours associated with </w:t>
      </w:r>
      <w:r w:rsidR="00452411" w:rsidRPr="00452411">
        <w:t>reproductive coercion</w:t>
      </w:r>
      <w:r w:rsidR="00452411" w:rsidRPr="00714C25">
        <w:t xml:space="preserve"> </w:t>
      </w:r>
      <w:r w:rsidRPr="00656F21">
        <w:t>may be a sign of potential escalation in violence (and potential lethality)</w:t>
      </w:r>
      <w:r w:rsidRPr="00452411">
        <w:t>,</w:t>
      </w:r>
      <w:r w:rsidRPr="00452411">
        <w:rPr>
          <w:rStyle w:val="EndnoteReference"/>
        </w:rPr>
        <w:endnoteReference w:id="133"/>
      </w:r>
      <w:r w:rsidRPr="00452411">
        <w:t xml:space="preserve"> it is worthwhile including screening questions and guidance into existing resources.  </w:t>
      </w:r>
    </w:p>
    <w:p w14:paraId="745E9D1E" w14:textId="0E535FA9" w:rsidR="00581A5E" w:rsidRPr="00A618BE" w:rsidRDefault="00581A5E" w:rsidP="00D0581F">
      <w:r w:rsidRPr="00452411">
        <w:t xml:space="preserve">While many of the resources provide support for healthcare professionals in antenatal and neonatal settings and to some degree, General Practice, the </w:t>
      </w:r>
      <w:r w:rsidRPr="00BE4A29">
        <w:t>Screening to Safety</w:t>
      </w:r>
      <w:r w:rsidRPr="00452411">
        <w:t xml:space="preserve"> program is the </w:t>
      </w:r>
      <w:r w:rsidRPr="00A618BE">
        <w:t xml:space="preserve">only set of resources that specifically addresses the issue of IPV and </w:t>
      </w:r>
      <w:r w:rsidR="00452411">
        <w:t>r</w:t>
      </w:r>
      <w:r w:rsidR="00452411" w:rsidRPr="00A618BE">
        <w:t xml:space="preserve">eproductive </w:t>
      </w:r>
      <w:r w:rsidR="00452411">
        <w:t>c</w:t>
      </w:r>
      <w:r w:rsidR="00452411" w:rsidRPr="00A618BE">
        <w:t>oercion</w:t>
      </w:r>
      <w:r w:rsidR="00452411">
        <w:t xml:space="preserve"> </w:t>
      </w:r>
      <w:r w:rsidRPr="00A618BE">
        <w:t xml:space="preserve">in abortion care settings. Given that the current research from </w:t>
      </w:r>
      <w:r>
        <w:t xml:space="preserve">North America </w:t>
      </w:r>
      <w:r w:rsidRPr="00A618BE">
        <w:t>shows a strong correlation between people accessing family planning clinics</w:t>
      </w:r>
      <w:r>
        <w:t xml:space="preserve"> and </w:t>
      </w:r>
      <w:r w:rsidR="00452411">
        <w:t>r</w:t>
      </w:r>
      <w:r w:rsidR="00452411" w:rsidRPr="00A618BE">
        <w:t xml:space="preserve">eproductive </w:t>
      </w:r>
      <w:r w:rsidR="00452411">
        <w:t>c</w:t>
      </w:r>
      <w:r w:rsidR="00452411" w:rsidRPr="00A618BE">
        <w:t>oercion</w:t>
      </w:r>
      <w:r w:rsidRPr="00A618BE">
        <w:t>, including abortion care settings, a strong case is made to focus on this healthcare setting</w:t>
      </w:r>
      <w:r>
        <w:t>.</w:t>
      </w:r>
      <w:r w:rsidRPr="00A618BE">
        <w:rPr>
          <w:rStyle w:val="EndnoteReference"/>
        </w:rPr>
        <w:endnoteReference w:id="134"/>
      </w:r>
    </w:p>
    <w:p w14:paraId="6CBE803B" w14:textId="41A6E2BC" w:rsidR="00581A5E" w:rsidRPr="00BE4A29" w:rsidRDefault="00581A5E" w:rsidP="00D0581F">
      <w:pPr>
        <w:rPr>
          <w:b/>
        </w:rPr>
      </w:pPr>
      <w:r w:rsidRPr="00BE4A29">
        <w:rPr>
          <w:b/>
        </w:rPr>
        <w:t xml:space="preserve">International </w:t>
      </w:r>
      <w:r w:rsidR="00395267">
        <w:rPr>
          <w:b/>
        </w:rPr>
        <w:t>e</w:t>
      </w:r>
      <w:r w:rsidRPr="00BE4A29">
        <w:rPr>
          <w:b/>
        </w:rPr>
        <w:t xml:space="preserve">xamples of </w:t>
      </w:r>
      <w:r w:rsidR="00395267">
        <w:rPr>
          <w:b/>
        </w:rPr>
        <w:t>h</w:t>
      </w:r>
      <w:r w:rsidRPr="00BE4A29">
        <w:rPr>
          <w:b/>
        </w:rPr>
        <w:t xml:space="preserve">ealthcare </w:t>
      </w:r>
      <w:r w:rsidR="00395267">
        <w:rPr>
          <w:b/>
        </w:rPr>
        <w:t>p</w:t>
      </w:r>
      <w:r w:rsidRPr="00BE4A29">
        <w:rPr>
          <w:b/>
        </w:rPr>
        <w:t xml:space="preserve">ractitioner </w:t>
      </w:r>
      <w:r w:rsidR="00395267">
        <w:rPr>
          <w:b/>
        </w:rPr>
        <w:t>r</w:t>
      </w:r>
      <w:r w:rsidRPr="00BE4A29">
        <w:rPr>
          <w:b/>
        </w:rPr>
        <w:t>esources</w:t>
      </w:r>
    </w:p>
    <w:p w14:paraId="634A4CD8" w14:textId="2F897DE2" w:rsidR="00581A5E" w:rsidRPr="00A618BE" w:rsidRDefault="00581A5E" w:rsidP="00D0581F">
      <w:r w:rsidRPr="00A618BE">
        <w:t xml:space="preserve">One of the most comprehensive healthcare practitioner resources on </w:t>
      </w:r>
      <w:r w:rsidR="00194CC8">
        <w:t>r</w:t>
      </w:r>
      <w:r w:rsidR="00194CC8" w:rsidRPr="00A618BE">
        <w:t xml:space="preserve">eproductive </w:t>
      </w:r>
      <w:r w:rsidR="00194CC8">
        <w:t>c</w:t>
      </w:r>
      <w:r w:rsidR="00194CC8" w:rsidRPr="00A618BE">
        <w:t>oercion</w:t>
      </w:r>
      <w:r w:rsidR="00194CC8">
        <w:t xml:space="preserve"> </w:t>
      </w:r>
      <w:r w:rsidRPr="00A618BE">
        <w:t xml:space="preserve">is </w:t>
      </w:r>
      <w:r w:rsidRPr="00BE4A29">
        <w:t>the Futures Without Violence Guide for Obstetric, Gynaecologic, Reproductive Health Care Settings</w:t>
      </w:r>
      <w:r w:rsidRPr="00A618BE">
        <w:t xml:space="preserve"> developed by the American College of Obstetricians and Gynaecologists</w:t>
      </w:r>
      <w:r>
        <w:t>.</w:t>
      </w:r>
      <w:r w:rsidRPr="00A618BE">
        <w:rPr>
          <w:rStyle w:val="EndnoteReference"/>
        </w:rPr>
        <w:endnoteReference w:id="135"/>
      </w:r>
      <w:r w:rsidRPr="00A618BE">
        <w:t xml:space="preserve"> The guide has been developed for use in a number of settings including:</w:t>
      </w:r>
    </w:p>
    <w:p w14:paraId="3472EC96" w14:textId="6FF2428C" w:rsidR="00581A5E" w:rsidRPr="00A618BE" w:rsidRDefault="00395267" w:rsidP="00D0581F">
      <w:pPr>
        <w:pStyle w:val="ListParagraph"/>
        <w:numPr>
          <w:ilvl w:val="0"/>
          <w:numId w:val="26"/>
        </w:numPr>
        <w:spacing w:before="240" w:after="240"/>
      </w:pPr>
      <w:r>
        <w:t>f</w:t>
      </w:r>
      <w:r w:rsidR="00581A5E" w:rsidRPr="00A618BE">
        <w:t>amily planning clinics</w:t>
      </w:r>
    </w:p>
    <w:p w14:paraId="37EB0278" w14:textId="7CB0B9FA" w:rsidR="00581A5E" w:rsidRPr="00A618BE" w:rsidRDefault="00395267" w:rsidP="00D0581F">
      <w:pPr>
        <w:pStyle w:val="ListParagraph"/>
        <w:numPr>
          <w:ilvl w:val="0"/>
          <w:numId w:val="26"/>
        </w:numPr>
        <w:spacing w:before="240" w:after="240"/>
      </w:pPr>
      <w:r>
        <w:t>o</w:t>
      </w:r>
      <w:r w:rsidR="00581A5E" w:rsidRPr="00A618BE">
        <w:t xml:space="preserve">bstetrics, </w:t>
      </w:r>
      <w:proofErr w:type="gramStart"/>
      <w:r w:rsidR="00581A5E" w:rsidRPr="00A618BE">
        <w:t>gynaecology</w:t>
      </w:r>
      <w:proofErr w:type="gramEnd"/>
      <w:r w:rsidR="00581A5E" w:rsidRPr="00A618BE">
        <w:t xml:space="preserve"> and other women’s health settings</w:t>
      </w:r>
    </w:p>
    <w:p w14:paraId="4DCA967A" w14:textId="5F4C608B" w:rsidR="00581A5E" w:rsidRPr="00A618BE" w:rsidRDefault="00395267" w:rsidP="00D0581F">
      <w:pPr>
        <w:pStyle w:val="ListParagraph"/>
        <w:numPr>
          <w:ilvl w:val="0"/>
          <w:numId w:val="26"/>
        </w:numPr>
        <w:spacing w:before="240" w:after="240"/>
      </w:pPr>
      <w:r>
        <w:t>a</w:t>
      </w:r>
      <w:r w:rsidR="00581A5E" w:rsidRPr="00A618BE">
        <w:t>ntenatal care settings</w:t>
      </w:r>
    </w:p>
    <w:p w14:paraId="6FFB9AD6" w14:textId="77777777" w:rsidR="00581A5E" w:rsidRPr="00A618BE" w:rsidRDefault="00581A5E" w:rsidP="00D0581F">
      <w:pPr>
        <w:pStyle w:val="ListParagraph"/>
        <w:numPr>
          <w:ilvl w:val="0"/>
          <w:numId w:val="26"/>
        </w:numPr>
        <w:spacing w:before="240" w:after="240"/>
      </w:pPr>
      <w:r w:rsidRPr="00A618BE">
        <w:t>STI/HIV clinics and prevention programs</w:t>
      </w:r>
    </w:p>
    <w:p w14:paraId="226FFFC0" w14:textId="5070B7D4" w:rsidR="00581A5E" w:rsidRPr="00A618BE" w:rsidRDefault="00395267" w:rsidP="00D0581F">
      <w:pPr>
        <w:pStyle w:val="ListParagraph"/>
        <w:numPr>
          <w:ilvl w:val="0"/>
          <w:numId w:val="26"/>
        </w:numPr>
        <w:spacing w:before="240" w:after="240"/>
      </w:pPr>
      <w:r>
        <w:t>a</w:t>
      </w:r>
      <w:r w:rsidR="00581A5E" w:rsidRPr="00A618BE">
        <w:t>bortion clinics</w:t>
      </w:r>
    </w:p>
    <w:p w14:paraId="3DB333E7" w14:textId="05A4F360" w:rsidR="00581A5E" w:rsidRPr="00A618BE" w:rsidRDefault="00395267" w:rsidP="00D0581F">
      <w:pPr>
        <w:pStyle w:val="ListParagraph"/>
        <w:numPr>
          <w:ilvl w:val="0"/>
          <w:numId w:val="26"/>
        </w:numPr>
        <w:spacing w:before="240" w:after="240"/>
      </w:pPr>
      <w:r>
        <w:t>o</w:t>
      </w:r>
      <w:r w:rsidR="00581A5E" w:rsidRPr="00A618BE">
        <w:t>ther sexual and reproductive health service clinics, including contraceptive care providers.</w:t>
      </w:r>
    </w:p>
    <w:p w14:paraId="1EDB05E1" w14:textId="136B9E95" w:rsidR="00581A5E" w:rsidRPr="00A618BE" w:rsidRDefault="00581A5E" w:rsidP="00D0581F">
      <w:r w:rsidRPr="00A618BE">
        <w:t xml:space="preserve">The strong focus on sexual and reproductive health in this guide allows for a more nuanced, targeted approach to identifying and responding to </w:t>
      </w:r>
      <w:r w:rsidR="00CC20B4">
        <w:t>reproductive coercion.</w:t>
      </w:r>
      <w:r w:rsidRPr="00A618BE">
        <w:t xml:space="preserve"> The guide also provides training links to assist with developing a trauma-informed approach to addressing the issue of </w:t>
      </w:r>
      <w:r w:rsidR="00452411">
        <w:t>r</w:t>
      </w:r>
      <w:r w:rsidR="00452411" w:rsidRPr="00A618BE">
        <w:t xml:space="preserve">eproductive </w:t>
      </w:r>
      <w:r w:rsidR="00452411">
        <w:t>c</w:t>
      </w:r>
      <w:r w:rsidR="00452411" w:rsidRPr="00A618BE">
        <w:t>oercion</w:t>
      </w:r>
      <w:r w:rsidRPr="00A618BE">
        <w:t xml:space="preserve">. </w:t>
      </w:r>
    </w:p>
    <w:p w14:paraId="537D3DDD" w14:textId="7FFA4174" w:rsidR="00581A5E" w:rsidRPr="00A618BE" w:rsidRDefault="00581A5E" w:rsidP="00D0581F">
      <w:r w:rsidRPr="00A618BE">
        <w:t xml:space="preserve">The Feminist Women’s Health </w:t>
      </w:r>
      <w:proofErr w:type="spellStart"/>
      <w:r w:rsidRPr="00A618BE">
        <w:t>Center</w:t>
      </w:r>
      <w:proofErr w:type="spellEnd"/>
      <w:r w:rsidRPr="00A618BE">
        <w:t>, The National Coalition Against Domestic Violence, and the National Organization for Men Against Sexism – all North American based organisations – have also developed a practitioner tool to help ‘bridge the gap’ between the health and domestic violence sectors</w:t>
      </w:r>
      <w:r>
        <w:t>,</w:t>
      </w:r>
      <w:r w:rsidRPr="00A618BE">
        <w:rPr>
          <w:rStyle w:val="EndnoteReference"/>
        </w:rPr>
        <w:endnoteReference w:id="136"/>
      </w:r>
      <w:r w:rsidRPr="00A618BE">
        <w:t xml:space="preserve"> which could be a useful resource in development of </w:t>
      </w:r>
      <w:r w:rsidR="00452411">
        <w:t>r</w:t>
      </w:r>
      <w:r w:rsidR="00452411" w:rsidRPr="00A618BE">
        <w:t xml:space="preserve">eproductive </w:t>
      </w:r>
      <w:r w:rsidR="00452411">
        <w:t>c</w:t>
      </w:r>
      <w:r w:rsidR="00452411" w:rsidRPr="00A618BE">
        <w:t>oercion</w:t>
      </w:r>
      <w:r w:rsidR="00452411">
        <w:t xml:space="preserve"> </w:t>
      </w:r>
      <w:r w:rsidRPr="00A618BE">
        <w:t>guidance and tools for Australia.</w:t>
      </w:r>
    </w:p>
    <w:p w14:paraId="06E47B6D" w14:textId="77777777" w:rsidR="00395267" w:rsidRDefault="00395267">
      <w:pPr>
        <w:spacing w:after="160" w:line="259" w:lineRule="auto"/>
      </w:pPr>
      <w:r>
        <w:br w:type="page"/>
      </w:r>
    </w:p>
    <w:p w14:paraId="06BB18D0" w14:textId="357FE798" w:rsidR="00581A5E" w:rsidRPr="00A618BE" w:rsidRDefault="00581A5E" w:rsidP="00D0581F">
      <w:r w:rsidRPr="00A618BE">
        <w:lastRenderedPageBreak/>
        <w:t xml:space="preserve">While North America may be ahead of Australia in terms of the development of specific screening and response resources for healthcare practitioners, research indicates that staff at family planning clinics in the United States are still not </w:t>
      </w:r>
      <w:r>
        <w:t>using</w:t>
      </w:r>
      <w:r w:rsidRPr="00A618BE">
        <w:t xml:space="preserve"> available screening tools and techniques in their practice and that healthcare practitioners have expressed a need for specific knowledge-based training about </w:t>
      </w:r>
      <w:r w:rsidR="00452411">
        <w:t>r</w:t>
      </w:r>
      <w:r w:rsidR="00452411" w:rsidRPr="00A618BE">
        <w:t xml:space="preserve">eproductive </w:t>
      </w:r>
      <w:r w:rsidR="00452411">
        <w:t>c</w:t>
      </w:r>
      <w:r w:rsidR="00452411" w:rsidRPr="00A618BE">
        <w:t>oercion</w:t>
      </w:r>
      <w:r>
        <w:t>.</w:t>
      </w:r>
      <w:r w:rsidRPr="00A618BE">
        <w:rPr>
          <w:rStyle w:val="EndnoteReference"/>
        </w:rPr>
        <w:endnoteReference w:id="137"/>
      </w:r>
      <w:r>
        <w:t xml:space="preserve"> </w:t>
      </w:r>
    </w:p>
    <w:p w14:paraId="52B388A7" w14:textId="6729EC06" w:rsidR="00581A5E" w:rsidRPr="00BE4A29" w:rsidRDefault="00581A5E" w:rsidP="00D0581F">
      <w:pPr>
        <w:rPr>
          <w:b/>
        </w:rPr>
      </w:pPr>
      <w:r w:rsidRPr="00BE4A29">
        <w:rPr>
          <w:b/>
        </w:rPr>
        <w:t xml:space="preserve">Engaging </w:t>
      </w:r>
      <w:r w:rsidR="00395267">
        <w:rPr>
          <w:b/>
        </w:rPr>
        <w:t>h</w:t>
      </w:r>
      <w:r w:rsidRPr="00BE4A29">
        <w:rPr>
          <w:b/>
        </w:rPr>
        <w:t xml:space="preserve">ealthcare </w:t>
      </w:r>
      <w:r w:rsidR="00395267">
        <w:rPr>
          <w:b/>
        </w:rPr>
        <w:t>p</w:t>
      </w:r>
      <w:r w:rsidRPr="00BE4A29">
        <w:rPr>
          <w:b/>
        </w:rPr>
        <w:t>ractitioners in Australia</w:t>
      </w:r>
    </w:p>
    <w:p w14:paraId="4C8E4523" w14:textId="170B350F" w:rsidR="00581A5E" w:rsidRPr="00A618BE" w:rsidRDefault="00581A5E" w:rsidP="00D0581F">
      <w:r>
        <w:t xml:space="preserve">In order for healthcare professionals to develop a richer understanding of </w:t>
      </w:r>
      <w:r w:rsidR="00452411">
        <w:t>r</w:t>
      </w:r>
      <w:r w:rsidR="00452411" w:rsidRPr="00A618BE">
        <w:t xml:space="preserve">eproductive </w:t>
      </w:r>
      <w:r w:rsidR="00452411">
        <w:t>c</w:t>
      </w:r>
      <w:r w:rsidR="00452411" w:rsidRPr="00A618BE">
        <w:t>oercion</w:t>
      </w:r>
      <w:r>
        <w:t xml:space="preserve">, how it manifests and ways that it can be addressed </w:t>
      </w:r>
      <w:r w:rsidRPr="00A618BE">
        <w:t>in the context of FV, IPV</w:t>
      </w:r>
      <w:r>
        <w:t xml:space="preserve"> or as stand-alone issue, learnings from the evaluation of the North American programs are beneficial to consider. Specifically</w:t>
      </w:r>
      <w:r w:rsidR="00CC20B4">
        <w:t>,</w:t>
      </w:r>
      <w:r>
        <w:t xml:space="preserve"> the evaluation of these screening initiatives highlight</w:t>
      </w:r>
      <w:r w:rsidR="00CC20B4">
        <w:t>s</w:t>
      </w:r>
      <w:r>
        <w:t xml:space="preserve"> the need for training to build on existing clinical knowledge and experience related to FV, IPV and </w:t>
      </w:r>
      <w:r w:rsidR="00452411">
        <w:t>r</w:t>
      </w:r>
      <w:r w:rsidR="00452411" w:rsidRPr="00A618BE">
        <w:t xml:space="preserve">eproductive </w:t>
      </w:r>
      <w:r w:rsidR="00452411">
        <w:t>c</w:t>
      </w:r>
      <w:r w:rsidR="00452411" w:rsidRPr="00A618BE">
        <w:t>oercion</w:t>
      </w:r>
      <w:r>
        <w:t xml:space="preserve">. Such training </w:t>
      </w:r>
      <w:r w:rsidRPr="00A618BE">
        <w:t xml:space="preserve">would ideally address the use of </w:t>
      </w:r>
      <w:r w:rsidR="00452411">
        <w:t>r</w:t>
      </w:r>
      <w:r w:rsidR="00452411" w:rsidRPr="00A618BE">
        <w:t xml:space="preserve">eproductive </w:t>
      </w:r>
      <w:r w:rsidR="00452411">
        <w:t>c</w:t>
      </w:r>
      <w:r w:rsidR="00452411" w:rsidRPr="00A618BE">
        <w:t>oercion</w:t>
      </w:r>
      <w:r w:rsidR="00452411">
        <w:t xml:space="preserve"> </w:t>
      </w:r>
      <w:r w:rsidRPr="00A618BE">
        <w:t xml:space="preserve">as a potential sign of escalation of violence and describe referral pathways to services that best assist with intervention and ongoing support. </w:t>
      </w:r>
    </w:p>
    <w:p w14:paraId="08FF1AB9" w14:textId="2809C9EE" w:rsidR="00581A5E" w:rsidRPr="00A618BE" w:rsidRDefault="00581A5E" w:rsidP="00D0581F">
      <w:r w:rsidRPr="00A618BE">
        <w:t>Ideally, screening and training resources should be developed using an Implementation Science Framework</w:t>
      </w:r>
      <w:r w:rsidRPr="00A618BE">
        <w:rPr>
          <w:rStyle w:val="EndnoteReference"/>
        </w:rPr>
        <w:endnoteReference w:id="138"/>
      </w:r>
      <w:r w:rsidRPr="00A618BE">
        <w:t xml:space="preserve"> within the context of a sexual and reproductive health clinic to test and trial best practice approaches to addressing </w:t>
      </w:r>
      <w:r w:rsidR="00452411">
        <w:t>r</w:t>
      </w:r>
      <w:r w:rsidR="00452411" w:rsidRPr="00A618BE">
        <w:t xml:space="preserve">eproductive </w:t>
      </w:r>
      <w:r w:rsidR="00452411">
        <w:t>c</w:t>
      </w:r>
      <w:r w:rsidR="00452411" w:rsidRPr="00A618BE">
        <w:t>oercion</w:t>
      </w:r>
      <w:r w:rsidRPr="00A618BE">
        <w:t xml:space="preserve">. </w:t>
      </w:r>
      <w:r>
        <w:t xml:space="preserve">This would allow for the development of screening and training resources based on the latest research as well as using the existing knowledge of clinicians within the clinic setting. </w:t>
      </w:r>
    </w:p>
    <w:p w14:paraId="3DB0D7DD" w14:textId="118291FF" w:rsidR="00581A5E" w:rsidRPr="00A618BE" w:rsidRDefault="00581A5E" w:rsidP="00D0581F">
      <w:r w:rsidRPr="00A618BE">
        <w:t xml:space="preserve">A small number of submissions voice </w:t>
      </w:r>
      <w:r>
        <w:t>concern</w:t>
      </w:r>
      <w:r w:rsidRPr="00A618BE">
        <w:t xml:space="preserve"> that development of resources </w:t>
      </w:r>
      <w:proofErr w:type="gramStart"/>
      <w:r w:rsidRPr="00A618BE">
        <w:t>in the area of</w:t>
      </w:r>
      <w:proofErr w:type="gramEnd"/>
      <w:r w:rsidRPr="00A618BE">
        <w:t xml:space="preserve"> </w:t>
      </w:r>
      <w:r w:rsidR="00194CC8">
        <w:t>r</w:t>
      </w:r>
      <w:r w:rsidR="00194CC8" w:rsidRPr="00A618BE">
        <w:t xml:space="preserve">eproductive </w:t>
      </w:r>
      <w:r w:rsidR="00194CC8">
        <w:t>c</w:t>
      </w:r>
      <w:r w:rsidR="00194CC8" w:rsidRPr="00A618BE">
        <w:t>oercion</w:t>
      </w:r>
      <w:r w:rsidR="00194CC8">
        <w:t xml:space="preserve"> </w:t>
      </w:r>
      <w:r w:rsidRPr="00A618BE">
        <w:t xml:space="preserve">may redirect limited resources away from the FV sector. Given that </w:t>
      </w:r>
      <w:r w:rsidR="00452411">
        <w:t>r</w:t>
      </w:r>
      <w:r w:rsidR="00452411" w:rsidRPr="00A618BE">
        <w:t xml:space="preserve">eproductive </w:t>
      </w:r>
      <w:r w:rsidR="00452411">
        <w:t>c</w:t>
      </w:r>
      <w:r w:rsidR="00452411" w:rsidRPr="00A618BE">
        <w:t>oercion</w:t>
      </w:r>
      <w:r w:rsidR="00452411">
        <w:t xml:space="preserve"> </w:t>
      </w:r>
      <w:r w:rsidRPr="00A618BE">
        <w:t xml:space="preserve">may be an early warning sign of an increased risk of </w:t>
      </w:r>
      <w:r>
        <w:t>escalation of violence</w:t>
      </w:r>
      <w:r w:rsidRPr="00A618BE">
        <w:t xml:space="preserve">, it is important that such resources are complementary, coordinated and create a web of support for people experience </w:t>
      </w:r>
      <w:r w:rsidR="00452411">
        <w:t>r</w:t>
      </w:r>
      <w:r w:rsidR="00452411" w:rsidRPr="00A618BE">
        <w:t xml:space="preserve">eproductive </w:t>
      </w:r>
      <w:r w:rsidR="00452411">
        <w:t>c</w:t>
      </w:r>
      <w:r w:rsidR="00452411" w:rsidRPr="00A618BE">
        <w:t>oercion</w:t>
      </w:r>
      <w:r w:rsidRPr="00A618BE">
        <w:t>. Rather than diverting resources from the</w:t>
      </w:r>
      <w:r>
        <w:t xml:space="preserve"> FV</w:t>
      </w:r>
      <w:r w:rsidRPr="00A618BE">
        <w:t xml:space="preserve"> sector, early identification of </w:t>
      </w:r>
      <w:r w:rsidR="00452411">
        <w:t>r</w:t>
      </w:r>
      <w:r w:rsidR="00452411" w:rsidRPr="00A618BE">
        <w:t xml:space="preserve">eproductive </w:t>
      </w:r>
      <w:r w:rsidR="00452411">
        <w:t>c</w:t>
      </w:r>
      <w:r w:rsidR="00452411" w:rsidRPr="00A618BE">
        <w:t>oercion</w:t>
      </w:r>
      <w:r w:rsidR="00452411">
        <w:t xml:space="preserve"> </w:t>
      </w:r>
      <w:r w:rsidRPr="00A618BE">
        <w:t>has the pot</w:t>
      </w:r>
      <w:r>
        <w:t>ential to identify markers for FV (and IPV and SV) and appropriate referral pathways to F</w:t>
      </w:r>
      <w:r w:rsidRPr="00A618BE">
        <w:t xml:space="preserve">V agencies. </w:t>
      </w:r>
    </w:p>
    <w:p w14:paraId="44561D04" w14:textId="59279CA8" w:rsidR="00581A5E" w:rsidRPr="00A618BE" w:rsidRDefault="00581A5E" w:rsidP="00D0581F">
      <w:r w:rsidRPr="00A618BE">
        <w:t xml:space="preserve">A submission from the Australian Medical Association highlighted the need to engage with relevant medical colleges, including the Royal Australian and New Zealand College of Obstetricians and Gynaecologists, the Royal Australian College of General Practitioners and the Royal Australasian College of Physicians, in the development of </w:t>
      </w:r>
      <w:r w:rsidR="00452411">
        <w:t>r</w:t>
      </w:r>
      <w:r w:rsidR="00452411" w:rsidRPr="00A618BE">
        <w:t xml:space="preserve">eproductive </w:t>
      </w:r>
      <w:r w:rsidR="00452411">
        <w:t>c</w:t>
      </w:r>
      <w:r w:rsidR="00452411" w:rsidRPr="00A618BE">
        <w:t>oercion</w:t>
      </w:r>
      <w:r w:rsidR="00452411">
        <w:t xml:space="preserve"> </w:t>
      </w:r>
      <w:r w:rsidRPr="00A618BE">
        <w:t xml:space="preserve">guidelines. This submission also highlighted the importance of engagement with universities through the relevant Schools of Medicine. </w:t>
      </w:r>
    </w:p>
    <w:p w14:paraId="36A3F33A" w14:textId="630A24A0" w:rsidR="00581A5E" w:rsidRPr="00BE4A29" w:rsidRDefault="00581A5E" w:rsidP="00D0581F">
      <w:pPr>
        <w:rPr>
          <w:b/>
        </w:rPr>
      </w:pPr>
      <w:r w:rsidRPr="00BE4A29">
        <w:rPr>
          <w:b/>
        </w:rPr>
        <w:t>Trauma-</w:t>
      </w:r>
      <w:r w:rsidR="00CC20B4">
        <w:rPr>
          <w:b/>
        </w:rPr>
        <w:t>i</w:t>
      </w:r>
      <w:r w:rsidRPr="00BE4A29">
        <w:rPr>
          <w:b/>
        </w:rPr>
        <w:t xml:space="preserve">nformed </w:t>
      </w:r>
      <w:r w:rsidR="00CC20B4">
        <w:rPr>
          <w:b/>
        </w:rPr>
        <w:t>p</w:t>
      </w:r>
      <w:r w:rsidRPr="00BE4A29">
        <w:rPr>
          <w:b/>
        </w:rPr>
        <w:t>ractice</w:t>
      </w:r>
    </w:p>
    <w:p w14:paraId="3E716BF7" w14:textId="77777777" w:rsidR="00CC20B4" w:rsidRDefault="00581A5E" w:rsidP="00D0581F">
      <w:r w:rsidRPr="00A618BE">
        <w:t>Screening for IPV alone has yielded mixed results in terms of decreasing the prevalence of IPV</w:t>
      </w:r>
      <w:r>
        <w:t>.</w:t>
      </w:r>
      <w:r w:rsidRPr="00A618BE">
        <w:rPr>
          <w:rStyle w:val="EndnoteReference"/>
        </w:rPr>
        <w:endnoteReference w:id="139"/>
      </w:r>
      <w:r w:rsidRPr="00A618BE">
        <w:t xml:space="preserve"> Research </w:t>
      </w:r>
      <w:r>
        <w:t>from North America</w:t>
      </w:r>
      <w:r w:rsidRPr="00A618BE">
        <w:t xml:space="preserve"> has highlighted the importance of healthcare practitioners adopting a trauma-informed approach to discussing and addressing </w:t>
      </w:r>
      <w:r w:rsidR="00194CC8">
        <w:t>r</w:t>
      </w:r>
      <w:r w:rsidR="00194CC8" w:rsidRPr="00A618BE">
        <w:t xml:space="preserve">eproductive </w:t>
      </w:r>
      <w:r w:rsidR="00194CC8">
        <w:t>c</w:t>
      </w:r>
      <w:r w:rsidR="00194CC8" w:rsidRPr="00A618BE">
        <w:t>oercion</w:t>
      </w:r>
      <w:r w:rsidR="00194CC8">
        <w:t xml:space="preserve"> </w:t>
      </w:r>
      <w:r w:rsidRPr="00A618BE">
        <w:t xml:space="preserve">with clients. </w:t>
      </w:r>
    </w:p>
    <w:p w14:paraId="4AB6CA91" w14:textId="22AF6990" w:rsidR="00581A5E" w:rsidRPr="00A618BE" w:rsidRDefault="00581A5E" w:rsidP="00D0581F">
      <w:r w:rsidRPr="00A618BE">
        <w:lastRenderedPageBreak/>
        <w:t xml:space="preserve">Trauma-informed practice emphasises a non-judgemental approach that ensures a safe, </w:t>
      </w:r>
      <w:proofErr w:type="gramStart"/>
      <w:r w:rsidRPr="00A618BE">
        <w:t>calm</w:t>
      </w:r>
      <w:proofErr w:type="gramEnd"/>
      <w:r w:rsidRPr="00A618BE">
        <w:t xml:space="preserve"> and empowering environment is available to the person disclosing </w:t>
      </w:r>
      <w:r w:rsidR="00452411">
        <w:t>r</w:t>
      </w:r>
      <w:r w:rsidR="00452411" w:rsidRPr="00A618BE">
        <w:t xml:space="preserve">eproductive </w:t>
      </w:r>
      <w:r w:rsidR="00452411">
        <w:t>c</w:t>
      </w:r>
      <w:r w:rsidR="00452411" w:rsidRPr="00A618BE">
        <w:t>oercion</w:t>
      </w:r>
      <w:r w:rsidRPr="00A618BE">
        <w:t xml:space="preserve">. </w:t>
      </w:r>
    </w:p>
    <w:p w14:paraId="6185F5FD" w14:textId="6C1199AD" w:rsidR="00581A5E" w:rsidRPr="00A618BE" w:rsidRDefault="00581A5E" w:rsidP="00D0581F">
      <w:pPr>
        <w:spacing w:before="240"/>
      </w:pPr>
      <w:r w:rsidRPr="00A618BE">
        <w:t>The Addressing Reproductive Coercion in Health Settings</w:t>
      </w:r>
      <w:r w:rsidR="00452411">
        <w:t xml:space="preserve"> (ARCHES) </w:t>
      </w:r>
      <w:r w:rsidRPr="00A618BE">
        <w:t xml:space="preserve">intervention program in the United States is a pilot program implemented in </w:t>
      </w:r>
      <w:proofErr w:type="gramStart"/>
      <w:r w:rsidRPr="00A618BE">
        <w:t>a number of</w:t>
      </w:r>
      <w:proofErr w:type="gramEnd"/>
      <w:r w:rsidRPr="00A618BE">
        <w:t xml:space="preserve"> family planning clinics that includes:</w:t>
      </w:r>
    </w:p>
    <w:p w14:paraId="6B3AD887" w14:textId="02705207" w:rsidR="00581A5E" w:rsidRPr="00A618BE" w:rsidRDefault="00CC20B4" w:rsidP="00D0581F">
      <w:pPr>
        <w:pStyle w:val="ListParagraph"/>
        <w:numPr>
          <w:ilvl w:val="0"/>
          <w:numId w:val="27"/>
        </w:numPr>
        <w:spacing w:before="240" w:after="240"/>
      </w:pPr>
      <w:r>
        <w:t>u</w:t>
      </w:r>
      <w:r w:rsidR="00581A5E" w:rsidRPr="00A618BE">
        <w:t>niversal assessment and education for all clients accessing services</w:t>
      </w:r>
    </w:p>
    <w:p w14:paraId="4B91A948" w14:textId="35007C2D" w:rsidR="00581A5E" w:rsidRPr="00A618BE" w:rsidRDefault="00CC20B4" w:rsidP="00D0581F">
      <w:pPr>
        <w:pStyle w:val="ListParagraph"/>
        <w:numPr>
          <w:ilvl w:val="0"/>
          <w:numId w:val="27"/>
        </w:numPr>
        <w:spacing w:before="240" w:after="240"/>
      </w:pPr>
      <w:r>
        <w:t>h</w:t>
      </w:r>
      <w:r w:rsidR="00581A5E" w:rsidRPr="00A618BE">
        <w:t>arm reduction counsellin</w:t>
      </w:r>
      <w:r>
        <w:t>g</w:t>
      </w:r>
    </w:p>
    <w:p w14:paraId="2E17FAE9" w14:textId="54AA2E63" w:rsidR="00581A5E" w:rsidRPr="00A618BE" w:rsidRDefault="00CC20B4" w:rsidP="00D0581F">
      <w:pPr>
        <w:pStyle w:val="ListParagraph"/>
        <w:numPr>
          <w:ilvl w:val="0"/>
          <w:numId w:val="27"/>
        </w:numPr>
        <w:spacing w:before="240" w:after="240"/>
      </w:pPr>
      <w:r>
        <w:t>s</w:t>
      </w:r>
      <w:r w:rsidR="00581A5E" w:rsidRPr="00A618BE">
        <w:t>upportive referrals to relevant services.</w:t>
      </w:r>
    </w:p>
    <w:p w14:paraId="6901889F" w14:textId="77777777" w:rsidR="00581A5E" w:rsidRPr="00F9344B" w:rsidRDefault="00581A5E" w:rsidP="00D0581F">
      <w:r w:rsidRPr="00A618BE">
        <w:t xml:space="preserve">Evaluation of the ARCHES program has shown that the assessment, </w:t>
      </w:r>
      <w:proofErr w:type="gramStart"/>
      <w:r w:rsidRPr="00A618BE">
        <w:t>education</w:t>
      </w:r>
      <w:proofErr w:type="gramEnd"/>
      <w:r w:rsidRPr="00A618BE">
        <w:t xml:space="preserve"> and counselling components provided clients with an increased sense of care and attention during their contact with health practitioners. The </w:t>
      </w:r>
      <w:r>
        <w:t xml:space="preserve">evaluation also showed that the </w:t>
      </w:r>
      <w:r w:rsidRPr="00A618BE">
        <w:t xml:space="preserve">program </w:t>
      </w:r>
      <w:r>
        <w:t>increased</w:t>
      </w:r>
      <w:r w:rsidRPr="00A618BE">
        <w:t xml:space="preserve"> client knowledge of violence-related resources and</w:t>
      </w:r>
      <w:r>
        <w:t xml:space="preserve"> encouraged </w:t>
      </w:r>
      <w:r w:rsidRPr="00A618BE">
        <w:t>confidence to enact harm-reducing behaviours</w:t>
      </w:r>
      <w:r>
        <w:t>.</w:t>
      </w:r>
      <w:r w:rsidRPr="00A618BE">
        <w:rPr>
          <w:rStyle w:val="EndnoteReference"/>
        </w:rPr>
        <w:endnoteReference w:id="140"/>
      </w:r>
      <w:r>
        <w:br w:type="page"/>
      </w:r>
    </w:p>
    <w:p w14:paraId="7AE31CA4" w14:textId="47D9822B" w:rsidR="00581A5E" w:rsidRPr="00A618BE" w:rsidRDefault="00581A5E" w:rsidP="00D0581F">
      <w:pPr>
        <w:pStyle w:val="Heading2"/>
      </w:pPr>
      <w:bookmarkStart w:id="125" w:name="_Toc530573372"/>
      <w:bookmarkStart w:id="126" w:name="_Toc57368604"/>
      <w:r w:rsidRPr="00A618BE">
        <w:lastRenderedPageBreak/>
        <w:t xml:space="preserve">Structural </w:t>
      </w:r>
      <w:r w:rsidR="008337A7">
        <w:t>i</w:t>
      </w:r>
      <w:r w:rsidRPr="00A618BE">
        <w:t xml:space="preserve">ssues and </w:t>
      </w:r>
      <w:r w:rsidR="008337A7">
        <w:t>d</w:t>
      </w:r>
      <w:r w:rsidRPr="00A618BE">
        <w:t xml:space="preserve">rivers of </w:t>
      </w:r>
      <w:bookmarkEnd w:id="125"/>
      <w:r w:rsidR="008337A7">
        <w:t>reproductive coercion</w:t>
      </w:r>
      <w:bookmarkEnd w:id="126"/>
    </w:p>
    <w:tbl>
      <w:tblPr>
        <w:tblStyle w:val="LightList"/>
        <w:tblW w:w="0" w:type="auto"/>
        <w:tblBorders>
          <w:top w:val="none" w:sz="0" w:space="0" w:color="auto"/>
          <w:left w:val="none" w:sz="0" w:space="0" w:color="auto"/>
          <w:bottom w:val="none" w:sz="0" w:space="0" w:color="auto"/>
          <w:right w:val="none" w:sz="0" w:space="0" w:color="auto"/>
        </w:tblBorders>
        <w:shd w:val="clear" w:color="auto" w:fill="9BAF91"/>
        <w:tblLook w:val="04A0" w:firstRow="1" w:lastRow="0" w:firstColumn="1" w:lastColumn="0" w:noHBand="0" w:noVBand="1"/>
      </w:tblPr>
      <w:tblGrid>
        <w:gridCol w:w="9070"/>
      </w:tblGrid>
      <w:tr w:rsidR="00581A5E" w:rsidRPr="00A618BE" w14:paraId="61706ABE" w14:textId="77777777" w:rsidTr="00CC2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1" w:type="dxa"/>
            <w:shd w:val="clear" w:color="auto" w:fill="9BAF91"/>
          </w:tcPr>
          <w:p w14:paraId="75CEBA75" w14:textId="33A9AF4C" w:rsidR="00581A5E" w:rsidRPr="00CC20B4" w:rsidRDefault="00581A5E" w:rsidP="00D0581F">
            <w:pPr>
              <w:rPr>
                <w:color w:val="auto"/>
              </w:rPr>
            </w:pPr>
            <w:r w:rsidRPr="00CC20B4">
              <w:rPr>
                <w:color w:val="auto"/>
              </w:rPr>
              <w:t xml:space="preserve">A complex array of sociological, psychological, and epidemiological factors </w:t>
            </w:r>
            <w:proofErr w:type="gramStart"/>
            <w:r w:rsidRPr="00CC20B4">
              <w:rPr>
                <w:color w:val="auto"/>
              </w:rPr>
              <w:t>are</w:t>
            </w:r>
            <w:proofErr w:type="gramEnd"/>
            <w:r w:rsidRPr="00CC20B4">
              <w:rPr>
                <w:color w:val="auto"/>
              </w:rPr>
              <w:t xml:space="preserve"> at play in the phenomenon of RC. The influence of cultural norms, gender roles and expectations, and interpretations of masculinity impact how men and women experience and understand decisions and pressure regarding reproductive health.</w:t>
            </w:r>
          </w:p>
          <w:p w14:paraId="16D41683" w14:textId="77777777" w:rsidR="00581A5E" w:rsidRPr="00A618BE" w:rsidRDefault="00581A5E" w:rsidP="00D0581F">
            <w:r w:rsidRPr="00CC20B4">
              <w:rPr>
                <w:color w:val="auto"/>
              </w:rPr>
              <w:t xml:space="preserve">Dr Karen </w:t>
            </w:r>
            <w:proofErr w:type="spellStart"/>
            <w:r w:rsidRPr="00CC20B4">
              <w:rPr>
                <w:color w:val="auto"/>
              </w:rPr>
              <w:t>Trister</w:t>
            </w:r>
            <w:proofErr w:type="spellEnd"/>
            <w:r w:rsidRPr="00CC20B4">
              <w:rPr>
                <w:color w:val="auto"/>
              </w:rPr>
              <w:t xml:space="preserve"> Grace (2016)</w:t>
            </w:r>
          </w:p>
        </w:tc>
      </w:tr>
    </w:tbl>
    <w:p w14:paraId="12A4143B" w14:textId="77777777" w:rsidR="00CC20B4" w:rsidRDefault="00CC20B4" w:rsidP="00D0581F">
      <w:pPr>
        <w:rPr>
          <w:b/>
        </w:rPr>
      </w:pPr>
      <w:bookmarkStart w:id="127" w:name="_Toc530573373"/>
    </w:p>
    <w:p w14:paraId="30BBDBFB" w14:textId="5191ADBF" w:rsidR="00581A5E" w:rsidRPr="00BE4A29" w:rsidRDefault="00581A5E" w:rsidP="00D0581F">
      <w:pPr>
        <w:rPr>
          <w:b/>
        </w:rPr>
      </w:pPr>
      <w:r w:rsidRPr="00BE4A29">
        <w:rPr>
          <w:b/>
        </w:rPr>
        <w:t xml:space="preserve">Conceptualising the </w:t>
      </w:r>
      <w:r w:rsidR="00CC20B4">
        <w:rPr>
          <w:b/>
        </w:rPr>
        <w:t>s</w:t>
      </w:r>
      <w:r w:rsidRPr="00BE4A29">
        <w:rPr>
          <w:b/>
        </w:rPr>
        <w:t xml:space="preserve">tructural </w:t>
      </w:r>
      <w:r w:rsidR="00CC20B4">
        <w:rPr>
          <w:b/>
        </w:rPr>
        <w:t>d</w:t>
      </w:r>
      <w:r w:rsidRPr="00BE4A29">
        <w:rPr>
          <w:b/>
        </w:rPr>
        <w:t>rivers</w:t>
      </w:r>
      <w:bookmarkEnd w:id="127"/>
    </w:p>
    <w:p w14:paraId="31F307AC" w14:textId="5CC34B2E" w:rsidR="00581A5E" w:rsidRPr="00A618BE" w:rsidRDefault="00581A5E" w:rsidP="00D0581F">
      <w:r w:rsidRPr="00A618BE">
        <w:t xml:space="preserve">Much of the research on </w:t>
      </w:r>
      <w:r w:rsidR="00452411">
        <w:t>r</w:t>
      </w:r>
      <w:r w:rsidR="00452411" w:rsidRPr="00A618BE">
        <w:t xml:space="preserve">eproductive </w:t>
      </w:r>
      <w:r w:rsidR="00452411">
        <w:t>c</w:t>
      </w:r>
      <w:r w:rsidR="00452411" w:rsidRPr="00A618BE">
        <w:t>oercion</w:t>
      </w:r>
      <w:r w:rsidR="00452411">
        <w:t xml:space="preserve"> </w:t>
      </w:r>
      <w:r w:rsidRPr="00A618BE">
        <w:t xml:space="preserve">is based on how </w:t>
      </w:r>
      <w:r w:rsidR="00452411">
        <w:t>r</w:t>
      </w:r>
      <w:r w:rsidR="00452411" w:rsidRPr="00A618BE">
        <w:t xml:space="preserve">eproductive </w:t>
      </w:r>
      <w:r w:rsidR="00452411">
        <w:t>c</w:t>
      </w:r>
      <w:r w:rsidR="00452411" w:rsidRPr="00A618BE">
        <w:t>oercion</w:t>
      </w:r>
      <w:r w:rsidR="00452411">
        <w:t xml:space="preserve"> </w:t>
      </w:r>
      <w:r w:rsidRPr="00A618BE">
        <w:t xml:space="preserve">plays out on an interpersonal level. As outlined in earlier sections, this </w:t>
      </w:r>
      <w:r w:rsidR="00B56730">
        <w:t>w</w:t>
      </w:r>
      <w:r w:rsidRPr="00A618BE">
        <w:t xml:space="preserve">hite </w:t>
      </w:r>
      <w:r w:rsidR="00B56730">
        <w:t>p</w:t>
      </w:r>
      <w:r w:rsidRPr="00A618BE">
        <w:t>aper acknowledges the importance of the interpersonal, particularly as it relates to perpetrator intensions to exert power and control. However</w:t>
      </w:r>
      <w:r w:rsidR="00CC20B4">
        <w:t>,</w:t>
      </w:r>
      <w:r w:rsidRPr="00A618BE">
        <w:t xml:space="preserve"> given the close connection between </w:t>
      </w:r>
      <w:r w:rsidR="00452411">
        <w:t>r</w:t>
      </w:r>
      <w:r w:rsidR="00452411" w:rsidRPr="00A618BE">
        <w:t xml:space="preserve">eproductive </w:t>
      </w:r>
      <w:r w:rsidR="00452411">
        <w:t>c</w:t>
      </w:r>
      <w:r w:rsidR="00452411" w:rsidRPr="00A618BE">
        <w:t>oercion</w:t>
      </w:r>
      <w:r w:rsidR="00452411">
        <w:t xml:space="preserve"> </w:t>
      </w:r>
      <w:r w:rsidRPr="00A618BE">
        <w:t>and FV</w:t>
      </w:r>
      <w:r>
        <w:t>,</w:t>
      </w:r>
      <w:r w:rsidRPr="00A618BE">
        <w:t xml:space="preserve"> IPV and SV, it is important that we look at the structural elements that create a permissive environment for behaviours associated with </w:t>
      </w:r>
      <w:r w:rsidR="00452411">
        <w:t>r</w:t>
      </w:r>
      <w:r w:rsidR="00452411" w:rsidRPr="00A618BE">
        <w:t xml:space="preserve">eproductive </w:t>
      </w:r>
      <w:r w:rsidR="00452411">
        <w:t>c</w:t>
      </w:r>
      <w:r w:rsidR="00452411" w:rsidRPr="00A618BE">
        <w:t>oercion</w:t>
      </w:r>
      <w:r w:rsidRPr="00A618BE">
        <w:t>.</w:t>
      </w:r>
    </w:p>
    <w:p w14:paraId="537A2301" w14:textId="07A4C31E" w:rsidR="00581A5E" w:rsidRDefault="00581A5E" w:rsidP="00D0581F">
      <w:r w:rsidRPr="00A618BE">
        <w:t xml:space="preserve">It is equally important to investigate the policy frameworks that can help drive deep systemic and intergenerational change required to address </w:t>
      </w:r>
      <w:r w:rsidR="00452411">
        <w:t>r</w:t>
      </w:r>
      <w:r w:rsidR="00452411" w:rsidRPr="00A618BE">
        <w:t xml:space="preserve">eproductive </w:t>
      </w:r>
      <w:r w:rsidR="00452411">
        <w:t>c</w:t>
      </w:r>
      <w:r w:rsidR="00452411" w:rsidRPr="00A618BE">
        <w:t>oercion</w:t>
      </w:r>
      <w:r w:rsidRPr="00A618BE">
        <w:t xml:space="preserve">. Much of the work in this section draws on existing research from the </w:t>
      </w:r>
      <w:r w:rsidR="00452411">
        <w:t>r</w:t>
      </w:r>
      <w:r w:rsidR="00452411" w:rsidRPr="00A618BE">
        <w:t xml:space="preserve">eproductive </w:t>
      </w:r>
      <w:r w:rsidR="00452411">
        <w:t>c</w:t>
      </w:r>
      <w:r w:rsidR="00452411" w:rsidRPr="00A618BE">
        <w:t>oercion</w:t>
      </w:r>
      <w:r w:rsidR="00452411">
        <w:t xml:space="preserve"> </w:t>
      </w:r>
      <w:r w:rsidRPr="00A618BE">
        <w:t>sector as well as the latest work on structural factors that impact on individual</w:t>
      </w:r>
      <w:r>
        <w:t xml:space="preserve"> reproductive health decisions.</w:t>
      </w:r>
    </w:p>
    <w:p w14:paraId="0F9DCF2F" w14:textId="5C500CB0" w:rsidR="00581A5E" w:rsidRPr="00BE4A29" w:rsidRDefault="00581A5E" w:rsidP="00D0581F">
      <w:pPr>
        <w:rPr>
          <w:b/>
        </w:rPr>
      </w:pPr>
      <w:bookmarkStart w:id="128" w:name="_Toc530573374"/>
      <w:r w:rsidRPr="00BE4A29">
        <w:rPr>
          <w:b/>
        </w:rPr>
        <w:t xml:space="preserve">Social </w:t>
      </w:r>
      <w:r w:rsidR="00CC20B4">
        <w:rPr>
          <w:b/>
        </w:rPr>
        <w:t>d</w:t>
      </w:r>
      <w:r w:rsidRPr="00BE4A29">
        <w:rPr>
          <w:b/>
        </w:rPr>
        <w:t>rivers</w:t>
      </w:r>
      <w:bookmarkEnd w:id="128"/>
    </w:p>
    <w:p w14:paraId="3421EE2E" w14:textId="25558ACD" w:rsidR="00581A5E" w:rsidRPr="00EF0EFA" w:rsidRDefault="00D87E2E" w:rsidP="00D0581F">
      <w:r>
        <w:t>Some</w:t>
      </w:r>
      <w:r w:rsidR="00581A5E" w:rsidRPr="00EF0EFA">
        <w:t xml:space="preserve"> submissions to</w:t>
      </w:r>
      <w:r>
        <w:t xml:space="preserve"> the first edition of</w:t>
      </w:r>
      <w:r w:rsidR="00581A5E" w:rsidRPr="00EF0EFA">
        <w:t xml:space="preserve"> </w:t>
      </w:r>
      <w:r w:rsidR="00452411" w:rsidRPr="00CC20B4">
        <w:rPr>
          <w:i/>
          <w:iCs/>
        </w:rPr>
        <w:t>Hidden Forces</w:t>
      </w:r>
      <w:r w:rsidR="00581A5E" w:rsidRPr="00EF0EFA">
        <w:t xml:space="preserve"> cautioned against taking a gendered approach to what is largely an unexplored area of interpersonal power and control. </w:t>
      </w:r>
      <w:r>
        <w:t>R</w:t>
      </w:r>
      <w:r w:rsidR="00452411" w:rsidRPr="00A618BE">
        <w:t xml:space="preserve">eproductive </w:t>
      </w:r>
      <w:r w:rsidR="00452411">
        <w:t>c</w:t>
      </w:r>
      <w:r w:rsidR="00452411" w:rsidRPr="00A618BE">
        <w:t>oercion</w:t>
      </w:r>
      <w:r w:rsidR="00452411">
        <w:t xml:space="preserve"> </w:t>
      </w:r>
      <w:r w:rsidR="00581A5E" w:rsidRPr="00EF0EFA">
        <w:t xml:space="preserve">and measures to address it need to </w:t>
      </w:r>
      <w:proofErr w:type="gramStart"/>
      <w:r w:rsidR="00581A5E" w:rsidRPr="00EF0EFA">
        <w:t>take into account</w:t>
      </w:r>
      <w:proofErr w:type="gramEnd"/>
      <w:r w:rsidR="00581A5E" w:rsidRPr="00EF0EFA">
        <w:t xml:space="preserve"> the broad spectrum of situations and experiences, </w:t>
      </w:r>
      <w:r>
        <w:t>including</w:t>
      </w:r>
      <w:r w:rsidR="00581A5E" w:rsidRPr="00EF0EFA">
        <w:t xml:space="preserve"> gendered frameworks, models and research that provide a basis for tackling </w:t>
      </w:r>
      <w:r w:rsidR="00452411">
        <w:t>r</w:t>
      </w:r>
      <w:r w:rsidR="00452411" w:rsidRPr="00A618BE">
        <w:t xml:space="preserve">eproductive </w:t>
      </w:r>
      <w:r w:rsidR="00452411">
        <w:t>c</w:t>
      </w:r>
      <w:r w:rsidR="00452411" w:rsidRPr="00A618BE">
        <w:t>oercion</w:t>
      </w:r>
      <w:r w:rsidR="00452411">
        <w:t xml:space="preserve"> </w:t>
      </w:r>
      <w:r w:rsidR="00581A5E" w:rsidRPr="00EF0EFA">
        <w:t>on a society-wide level.</w:t>
      </w:r>
      <w:r w:rsidR="00581A5E" w:rsidRPr="00331F71">
        <w:rPr>
          <w:rStyle w:val="EndnoteReference"/>
        </w:rPr>
        <w:endnoteReference w:id="141"/>
      </w:r>
      <w:r w:rsidR="00581A5E" w:rsidRPr="00EF0EFA">
        <w:t xml:space="preserve"> </w:t>
      </w:r>
    </w:p>
    <w:p w14:paraId="14BB25B8" w14:textId="0603B3AD" w:rsidR="00581A5E" w:rsidRPr="00A618BE" w:rsidRDefault="00581A5E" w:rsidP="00D0581F">
      <w:r w:rsidRPr="00A618BE">
        <w:t xml:space="preserve">For the purposes of this </w:t>
      </w:r>
      <w:r w:rsidR="00452411">
        <w:t>w</w:t>
      </w:r>
      <w:r w:rsidRPr="00A618BE">
        <w:t xml:space="preserve">hite </w:t>
      </w:r>
      <w:r w:rsidR="00452411">
        <w:t>p</w:t>
      </w:r>
      <w:r w:rsidRPr="00A618BE">
        <w:t>aper, we identify gender as a “constitutive element of social relations based upon perceived (socially constructed and culturally variable) differences between females and males, and as a primary way of signifying (and naturalizing) relationships of power and hierarchy.”</w:t>
      </w:r>
      <w:r w:rsidRPr="00A618BE">
        <w:rPr>
          <w:rStyle w:val="EndnoteReference"/>
        </w:rPr>
        <w:endnoteReference w:id="142"/>
      </w:r>
      <w:r w:rsidRPr="00A618BE">
        <w:t xml:space="preserve"> Further</w:t>
      </w:r>
      <w:r w:rsidR="00CC20B4">
        <w:t>,</w:t>
      </w:r>
      <w:r w:rsidRPr="00A618BE">
        <w:t xml:space="preserve"> we identify gender as a ‘symbolic institution’ where roles are ‘performed’ and these roles can have a causal link to violence and coercion</w:t>
      </w:r>
      <w:r>
        <w:t>.</w:t>
      </w:r>
      <w:r w:rsidRPr="00A618BE">
        <w:rPr>
          <w:rStyle w:val="EndnoteReference"/>
        </w:rPr>
        <w:endnoteReference w:id="143"/>
      </w:r>
    </w:p>
    <w:p w14:paraId="6AA2B080" w14:textId="77777777" w:rsidR="00581A5E" w:rsidRPr="00A618BE" w:rsidRDefault="00581A5E" w:rsidP="00D0581F">
      <w:r w:rsidRPr="00A618BE">
        <w:t>Societies with rigid gender roles, and particularly those with clearly defined roles for women as child-bearers and for men as ‘breadwinners’, tend to experience higher rates of violence against w</w:t>
      </w:r>
      <w:r>
        <w:t>omen.</w:t>
      </w:r>
      <w:r w:rsidRPr="00A618BE">
        <w:rPr>
          <w:rStyle w:val="EndnoteReference"/>
        </w:rPr>
        <w:endnoteReference w:id="144"/>
      </w:r>
      <w:r w:rsidRPr="00A618BE">
        <w:t xml:space="preserve">  There is a significant body of research that suggests a strong causal link between rigid masculine gender roles and coercive, violent and sometimes rape-related behaviours. These attitudes and behaviours can lead to a sense of entitlement which, in turn, can manifest as use of force</w:t>
      </w:r>
      <w:r>
        <w:t>.</w:t>
      </w:r>
      <w:r w:rsidRPr="00A618BE">
        <w:rPr>
          <w:rStyle w:val="EndnoteReference"/>
        </w:rPr>
        <w:endnoteReference w:id="145"/>
      </w:r>
    </w:p>
    <w:p w14:paraId="5771E429" w14:textId="5FC60FE2" w:rsidR="00581A5E" w:rsidRDefault="00581A5E" w:rsidP="00D0581F">
      <w:pPr>
        <w:spacing w:after="0"/>
      </w:pPr>
    </w:p>
    <w:p w14:paraId="4C5C29D1" w14:textId="54B0A744" w:rsidR="00CC20B4" w:rsidRPr="00A618BE" w:rsidRDefault="00CC20B4" w:rsidP="00D0581F">
      <w:pPr>
        <w:spacing w:after="0"/>
      </w:pPr>
      <w:r>
        <w:rPr>
          <w:noProof/>
          <w:lang w:eastAsia="en-AU"/>
        </w:rPr>
        <w:lastRenderedPageBreak/>
        <mc:AlternateContent>
          <mc:Choice Requires="wps">
            <w:drawing>
              <wp:anchor distT="45720" distB="45720" distL="114300" distR="114300" simplePos="0" relativeHeight="251689984" behindDoc="0" locked="0" layoutInCell="1" allowOverlap="1" wp14:anchorId="180DB5EB" wp14:editId="7F232498">
                <wp:simplePos x="0" y="0"/>
                <wp:positionH relativeFrom="margin">
                  <wp:posOffset>-1270</wp:posOffset>
                </wp:positionH>
                <wp:positionV relativeFrom="paragraph">
                  <wp:posOffset>180340</wp:posOffset>
                </wp:positionV>
                <wp:extent cx="5760720" cy="1404620"/>
                <wp:effectExtent l="0" t="0" r="0" b="19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9BAF91"/>
                        </a:solidFill>
                        <a:ln w="9525">
                          <a:noFill/>
                          <a:miter lim="800000"/>
                          <a:headEnd/>
                          <a:tailEnd/>
                        </a:ln>
                      </wps:spPr>
                      <wps:txbx>
                        <w:txbxContent>
                          <w:p w14:paraId="0BFAB5D6" w14:textId="4B6FA45B" w:rsidR="00D76477" w:rsidRPr="00022D34" w:rsidRDefault="00D76477" w:rsidP="00CC20B4">
                            <w:pPr>
                              <w:rPr>
                                <w:b/>
                                <w:sz w:val="44"/>
                              </w:rPr>
                            </w:pPr>
                            <w:r w:rsidRPr="00022D34">
                              <w:rPr>
                                <w:b/>
                              </w:rPr>
                              <w:t xml:space="preserve">Anna would describe her relationship as healthy and equal. There were no issues of power and control, until it came to the subject of family planning. </w:t>
                            </w:r>
                          </w:p>
                          <w:p w14:paraId="2C1E7FED" w14:textId="77777777" w:rsidR="00D76477" w:rsidRPr="00022D34" w:rsidRDefault="00D76477" w:rsidP="00CC20B4">
                            <w:pPr>
                              <w:rPr>
                                <w:b/>
                                <w:sz w:val="44"/>
                              </w:rPr>
                            </w:pPr>
                            <w:r w:rsidRPr="00022D34">
                              <w:rPr>
                                <w:b/>
                              </w:rPr>
                              <w:t xml:space="preserve">Anna’s husband has always wanted to have children as has Anna. But first she wanted to establish her career. </w:t>
                            </w:r>
                          </w:p>
                          <w:p w14:paraId="291E6EE1" w14:textId="77777777" w:rsidR="00D76477" w:rsidRPr="00022D34" w:rsidRDefault="00D76477" w:rsidP="00CC20B4">
                            <w:pPr>
                              <w:rPr>
                                <w:b/>
                                <w:sz w:val="44"/>
                              </w:rPr>
                            </w:pPr>
                            <w:r w:rsidRPr="00022D34">
                              <w:rPr>
                                <w:b/>
                              </w:rPr>
                              <w:t>“As our relationship progressed, he became more demanding of me having children. When I reached 30 it intensified, when I achieved a promotion at work, his demands further increased. His behaviour really took me by surprise and made me feel like I had no choice. I had to get pregnant.”</w:t>
                            </w:r>
                          </w:p>
                          <w:p w14:paraId="0F908808" w14:textId="77777777" w:rsidR="00D76477" w:rsidRPr="00022D34" w:rsidRDefault="00D76477" w:rsidP="00CC20B4">
                            <w:pPr>
                              <w:rPr>
                                <w:b/>
                              </w:rPr>
                            </w:pPr>
                            <w:r w:rsidRPr="00022D34">
                              <w:rPr>
                                <w:b/>
                              </w:rPr>
                              <w:t xml:space="preserve">Anna says that as her husband’s demands intensified, she changed her behaviour. “I would take the pill without him knowing because I just wasn’t ready for children,” she says. </w:t>
                            </w:r>
                          </w:p>
                          <w:p w14:paraId="36BF49AA" w14:textId="77777777" w:rsidR="00D76477" w:rsidRPr="00022D34" w:rsidRDefault="00D76477" w:rsidP="00CC20B4">
                            <w:pPr>
                              <w:rPr>
                                <w:b/>
                                <w:sz w:val="44"/>
                              </w:rPr>
                            </w:pPr>
                            <w:r w:rsidRPr="00022D34">
                              <w:rPr>
                                <w:b/>
                              </w:rPr>
                              <w:t xml:space="preserve">When Anna did stop using </w:t>
                            </w:r>
                            <w:proofErr w:type="gramStart"/>
                            <w:r w:rsidRPr="00022D34">
                              <w:rPr>
                                <w:b/>
                              </w:rPr>
                              <w:t>contraception</w:t>
                            </w:r>
                            <w:proofErr w:type="gramEnd"/>
                            <w:r w:rsidRPr="00022D34">
                              <w:rPr>
                                <w:b/>
                              </w:rPr>
                              <w:t xml:space="preserve"> she said that her husband directed everything. “He wanted to have sex every day, sometimes several times a day. I was tired.  I felt like I was on this merry-go-round and that the best thing for me to do was to just be compliant.” When Anna did become pregnant, she described it as feeling overshadowed by the rage and aggression of her husband. </w:t>
                            </w:r>
                          </w:p>
                          <w:p w14:paraId="6379BF6B" w14:textId="77777777" w:rsidR="00D76477" w:rsidRPr="00022D34" w:rsidRDefault="00D76477" w:rsidP="00CC20B4">
                            <w:pPr>
                              <w:rPr>
                                <w:b/>
                                <w:sz w:val="44"/>
                              </w:rPr>
                            </w:pPr>
                            <w:r w:rsidRPr="00022D34">
                              <w:rPr>
                                <w:b/>
                              </w:rPr>
                              <w:t xml:space="preserve">Anna miscarried and had a long, </w:t>
                            </w:r>
                            <w:proofErr w:type="gramStart"/>
                            <w:r w:rsidRPr="00022D34">
                              <w:rPr>
                                <w:b/>
                              </w:rPr>
                              <w:t>difficult</w:t>
                            </w:r>
                            <w:proofErr w:type="gramEnd"/>
                            <w:r w:rsidRPr="00022D34">
                              <w:rPr>
                                <w:b/>
                              </w:rPr>
                              <w:t xml:space="preserve"> and painful recovery. “To begin with my husband was great. But then he became single-mindedly focused on trying for another baby,” Anna says. “My body and my mind were just not ready for another pregnancy. I felt like I had lost all safety in my body.</w:t>
                            </w:r>
                          </w:p>
                          <w:p w14:paraId="50B162B5" w14:textId="77777777" w:rsidR="00D76477" w:rsidRPr="00022D34" w:rsidRDefault="00D76477" w:rsidP="00CC20B4">
                            <w:pPr>
                              <w:rPr>
                                <w:b/>
                                <w:sz w:val="44"/>
                              </w:rPr>
                            </w:pPr>
                            <w:r w:rsidRPr="00022D34">
                              <w:rPr>
                                <w:b/>
                              </w:rPr>
                              <w:t>“He made me feel like I was not a person of worth. My biggest value to him was to give him a child.</w:t>
                            </w:r>
                          </w:p>
                          <w:p w14:paraId="402496BD" w14:textId="77777777" w:rsidR="00D76477" w:rsidRPr="00022D34" w:rsidRDefault="00D76477" w:rsidP="00CC20B4">
                            <w:pPr>
                              <w:rPr>
                                <w:b/>
                                <w:sz w:val="44"/>
                              </w:rPr>
                            </w:pPr>
                            <w:r w:rsidRPr="00022D34">
                              <w:rPr>
                                <w:b/>
                              </w:rPr>
                              <w:t xml:space="preserve">“We are separated right </w:t>
                            </w:r>
                            <w:proofErr w:type="gramStart"/>
                            <w:r w:rsidRPr="00022D34">
                              <w:rPr>
                                <w:b/>
                              </w:rPr>
                              <w:t>now</w:t>
                            </w:r>
                            <w:proofErr w:type="gramEnd"/>
                            <w:r w:rsidRPr="00022D34">
                              <w:rPr>
                                <w:b/>
                              </w:rPr>
                              <w:t xml:space="preserve"> and he maintains that I am the bad one. I am the only one who can fix this by giving him children.”</w:t>
                            </w:r>
                          </w:p>
                          <w:p w14:paraId="56B7BA75" w14:textId="77777777" w:rsidR="00D76477" w:rsidRPr="00022D34" w:rsidRDefault="00D76477" w:rsidP="00CC20B4">
                            <w:pPr>
                              <w:rPr>
                                <w:b/>
                              </w:rPr>
                            </w:pPr>
                            <w:r w:rsidRPr="00022D34">
                              <w:rPr>
                                <w:b/>
                              </w:rPr>
                              <w:t>Anna*, NSW</w:t>
                            </w:r>
                          </w:p>
                          <w:p w14:paraId="06BD132B" w14:textId="199D87CE" w:rsidR="00D76477" w:rsidRDefault="00D76477" w:rsidP="00CC20B4">
                            <w:r w:rsidRPr="00022D34">
                              <w:rPr>
                                <w:b/>
                              </w:rPr>
                              <w:t>*Name has been changed for privacy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DB5EB" id="_x0000_s1032" type="#_x0000_t202" style="position:absolute;margin-left:-.1pt;margin-top:14.2pt;width:453.6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" fillcolor="#9baf91" stroked="f">
                <v:textbox style="mso-fit-shape-to-text:t">
                  <w:txbxContent>
                    <w:p w14:paraId="0BFAB5D6" w14:textId="4B6FA45B" w:rsidR="00D76477" w:rsidRPr="00022D34" w:rsidRDefault="00D76477" w:rsidP="00CC20B4">
                      <w:pPr>
                        <w:rPr>
                          <w:b/>
                          <w:sz w:val="44"/>
                        </w:rPr>
                      </w:pPr>
                      <w:r w:rsidRPr="00022D34">
                        <w:rPr>
                          <w:b/>
                        </w:rPr>
                        <w:t xml:space="preserve">Anna would describe her relationship as healthy and equal. There were no issues of power and control, until it came to the subject of family planning. </w:t>
                      </w:r>
                    </w:p>
                    <w:p w14:paraId="2C1E7FED" w14:textId="77777777" w:rsidR="00D76477" w:rsidRPr="00022D34" w:rsidRDefault="00D76477" w:rsidP="00CC20B4">
                      <w:pPr>
                        <w:rPr>
                          <w:b/>
                          <w:sz w:val="44"/>
                        </w:rPr>
                      </w:pPr>
                      <w:r w:rsidRPr="00022D34">
                        <w:rPr>
                          <w:b/>
                        </w:rPr>
                        <w:t xml:space="preserve">Anna’s husband has always wanted to have children as has Anna. But first she wanted to establish her career. </w:t>
                      </w:r>
                    </w:p>
                    <w:p w14:paraId="291E6EE1" w14:textId="77777777" w:rsidR="00D76477" w:rsidRPr="00022D34" w:rsidRDefault="00D76477" w:rsidP="00CC20B4">
                      <w:pPr>
                        <w:rPr>
                          <w:b/>
                          <w:sz w:val="44"/>
                        </w:rPr>
                      </w:pPr>
                      <w:r w:rsidRPr="00022D34">
                        <w:rPr>
                          <w:b/>
                        </w:rPr>
                        <w:t>“As our relationship progressed, he became more demanding of me having children. When I reached 30 it intensified, when I achieved a promotion at work, his demands further increased. His behaviour really took me by surprise and made me feel like I had no choice. I had to get pregnant.”</w:t>
                      </w:r>
                    </w:p>
                    <w:p w14:paraId="0F908808" w14:textId="77777777" w:rsidR="00D76477" w:rsidRPr="00022D34" w:rsidRDefault="00D76477" w:rsidP="00CC20B4">
                      <w:pPr>
                        <w:rPr>
                          <w:b/>
                        </w:rPr>
                      </w:pPr>
                      <w:r w:rsidRPr="00022D34">
                        <w:rPr>
                          <w:b/>
                        </w:rPr>
                        <w:t xml:space="preserve">Anna says that as her husband’s demands intensified, she changed her behaviour. “I would take the pill without him knowing because I just wasn’t ready for children,” she says. </w:t>
                      </w:r>
                    </w:p>
                    <w:p w14:paraId="36BF49AA" w14:textId="77777777" w:rsidR="00D76477" w:rsidRPr="00022D34" w:rsidRDefault="00D76477" w:rsidP="00CC20B4">
                      <w:pPr>
                        <w:rPr>
                          <w:b/>
                          <w:sz w:val="44"/>
                        </w:rPr>
                      </w:pPr>
                      <w:r w:rsidRPr="00022D34">
                        <w:rPr>
                          <w:b/>
                        </w:rPr>
                        <w:t xml:space="preserve">When Anna did stop using </w:t>
                      </w:r>
                      <w:proofErr w:type="gramStart"/>
                      <w:r w:rsidRPr="00022D34">
                        <w:rPr>
                          <w:b/>
                        </w:rPr>
                        <w:t>contraception</w:t>
                      </w:r>
                      <w:proofErr w:type="gramEnd"/>
                      <w:r w:rsidRPr="00022D34">
                        <w:rPr>
                          <w:b/>
                        </w:rPr>
                        <w:t xml:space="preserve"> she said that her husband directed everything. “He wanted to have sex every day, sometimes several times a day. I was tired.  I felt like I was on this merry-go-round and that the best thing for me to do was to just be compliant.” When Anna did become pregnant, she described it as feeling overshadowed by the rage and aggression of her husband. </w:t>
                      </w:r>
                    </w:p>
                    <w:p w14:paraId="6379BF6B" w14:textId="77777777" w:rsidR="00D76477" w:rsidRPr="00022D34" w:rsidRDefault="00D76477" w:rsidP="00CC20B4">
                      <w:pPr>
                        <w:rPr>
                          <w:b/>
                          <w:sz w:val="44"/>
                        </w:rPr>
                      </w:pPr>
                      <w:r w:rsidRPr="00022D34">
                        <w:rPr>
                          <w:b/>
                        </w:rPr>
                        <w:t xml:space="preserve">Anna miscarried and had a long, </w:t>
                      </w:r>
                      <w:proofErr w:type="gramStart"/>
                      <w:r w:rsidRPr="00022D34">
                        <w:rPr>
                          <w:b/>
                        </w:rPr>
                        <w:t>difficult</w:t>
                      </w:r>
                      <w:proofErr w:type="gramEnd"/>
                      <w:r w:rsidRPr="00022D34">
                        <w:rPr>
                          <w:b/>
                        </w:rPr>
                        <w:t xml:space="preserve"> and painful recovery. “To begin with my husband was great. But then he became single-mindedly focused on trying for another baby,” Anna says. “My body and my mind were just not ready for another pregnancy. I felt like I had lost all safety in my body.</w:t>
                      </w:r>
                    </w:p>
                    <w:p w14:paraId="50B162B5" w14:textId="77777777" w:rsidR="00D76477" w:rsidRPr="00022D34" w:rsidRDefault="00D76477" w:rsidP="00CC20B4">
                      <w:pPr>
                        <w:rPr>
                          <w:b/>
                          <w:sz w:val="44"/>
                        </w:rPr>
                      </w:pPr>
                      <w:r w:rsidRPr="00022D34">
                        <w:rPr>
                          <w:b/>
                        </w:rPr>
                        <w:t>“He made me feel like I was not a person of worth. My biggest value to him was to give him a child.</w:t>
                      </w:r>
                    </w:p>
                    <w:p w14:paraId="402496BD" w14:textId="77777777" w:rsidR="00D76477" w:rsidRPr="00022D34" w:rsidRDefault="00D76477" w:rsidP="00CC20B4">
                      <w:pPr>
                        <w:rPr>
                          <w:b/>
                          <w:sz w:val="44"/>
                        </w:rPr>
                      </w:pPr>
                      <w:r w:rsidRPr="00022D34">
                        <w:rPr>
                          <w:b/>
                        </w:rPr>
                        <w:t xml:space="preserve">“We are separated right </w:t>
                      </w:r>
                      <w:proofErr w:type="gramStart"/>
                      <w:r w:rsidRPr="00022D34">
                        <w:rPr>
                          <w:b/>
                        </w:rPr>
                        <w:t>now</w:t>
                      </w:r>
                      <w:proofErr w:type="gramEnd"/>
                      <w:r w:rsidRPr="00022D34">
                        <w:rPr>
                          <w:b/>
                        </w:rPr>
                        <w:t xml:space="preserve"> and he maintains that I am the bad one. I am the only one who can fix this by giving him children.”</w:t>
                      </w:r>
                    </w:p>
                    <w:p w14:paraId="56B7BA75" w14:textId="77777777" w:rsidR="00D76477" w:rsidRPr="00022D34" w:rsidRDefault="00D76477" w:rsidP="00CC20B4">
                      <w:pPr>
                        <w:rPr>
                          <w:b/>
                        </w:rPr>
                      </w:pPr>
                      <w:r w:rsidRPr="00022D34">
                        <w:rPr>
                          <w:b/>
                        </w:rPr>
                        <w:t>Anna*, NSW</w:t>
                      </w:r>
                    </w:p>
                    <w:p w14:paraId="06BD132B" w14:textId="199D87CE" w:rsidR="00D76477" w:rsidRDefault="00D76477" w:rsidP="00CC20B4">
                      <w:r w:rsidRPr="00022D34">
                        <w:rPr>
                          <w:b/>
                        </w:rPr>
                        <w:t>*Name has been changed for privacy</w:t>
                      </w:r>
                    </w:p>
                  </w:txbxContent>
                </v:textbox>
                <w10:wrap type="square" anchorx="margin"/>
              </v:shape>
            </w:pict>
          </mc:Fallback>
        </mc:AlternateContent>
      </w:r>
    </w:p>
    <w:tbl>
      <w:tblPr>
        <w:tblStyle w:val="LightList"/>
        <w:tblW w:w="0" w:type="auto"/>
        <w:shd w:val="clear" w:color="auto" w:fill="D4A8A9"/>
        <w:tblLook w:val="04A0" w:firstRow="1" w:lastRow="0" w:firstColumn="1" w:lastColumn="0" w:noHBand="0" w:noVBand="1"/>
      </w:tblPr>
      <w:tblGrid>
        <w:gridCol w:w="9070"/>
      </w:tblGrid>
      <w:tr w:rsidR="007901DB" w:rsidRPr="007901DB" w14:paraId="3E20EF0C" w14:textId="77777777" w:rsidTr="00CC2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1" w:type="dxa"/>
            <w:tcBorders>
              <w:top w:val="nil"/>
              <w:left w:val="nil"/>
              <w:bottom w:val="nil"/>
              <w:right w:val="nil"/>
            </w:tcBorders>
            <w:shd w:val="clear" w:color="auto" w:fill="9BAF91"/>
          </w:tcPr>
          <w:p w14:paraId="474AD7D4" w14:textId="3729B554" w:rsidR="00581A5E" w:rsidRPr="00CC20B4" w:rsidRDefault="00581A5E" w:rsidP="00D0581F">
            <w:pPr>
              <w:rPr>
                <w:color w:val="auto"/>
              </w:rPr>
            </w:pPr>
            <w:r w:rsidRPr="00CC20B4">
              <w:rPr>
                <w:color w:val="auto"/>
              </w:rPr>
              <w:t xml:space="preserve">Boys will be boys, but we have so far collectively failed to let you all be anything other than the most rigid, </w:t>
            </w:r>
            <w:proofErr w:type="gramStart"/>
            <w:r w:rsidRPr="00CC20B4">
              <w:rPr>
                <w:color w:val="auto"/>
              </w:rPr>
              <w:t>damaging</w:t>
            </w:r>
            <w:proofErr w:type="gramEnd"/>
            <w:r w:rsidRPr="00CC20B4">
              <w:rPr>
                <w:color w:val="auto"/>
              </w:rPr>
              <w:t xml:space="preserve"> and reductive form of boy.</w:t>
            </w:r>
          </w:p>
          <w:p w14:paraId="1D46BF2D" w14:textId="77777777" w:rsidR="00581A5E" w:rsidRPr="007901DB" w:rsidRDefault="00581A5E" w:rsidP="00D0581F">
            <w:pPr>
              <w:rPr>
                <w:b w:val="0"/>
                <w:color w:val="auto"/>
              </w:rPr>
            </w:pPr>
            <w:r w:rsidRPr="00CC20B4">
              <w:rPr>
                <w:color w:val="auto"/>
              </w:rPr>
              <w:t>Clementine Ford, Boys Will Be Boys, 2018</w:t>
            </w:r>
          </w:p>
        </w:tc>
      </w:tr>
    </w:tbl>
    <w:p w14:paraId="5E2A6F4F" w14:textId="77777777" w:rsidR="00CC20B4" w:rsidRDefault="00CC20B4" w:rsidP="00D0581F"/>
    <w:p w14:paraId="107F8710" w14:textId="3DBDE13F" w:rsidR="00581A5E" w:rsidRPr="00A618BE" w:rsidRDefault="00CC20B4" w:rsidP="00CC20B4">
      <w:pPr>
        <w:spacing w:after="160" w:line="259" w:lineRule="auto"/>
      </w:pPr>
      <w:r>
        <w:br w:type="page"/>
      </w:r>
      <w:r w:rsidR="00581A5E" w:rsidRPr="00A618BE">
        <w:lastRenderedPageBreak/>
        <w:t xml:space="preserve">Few of the people who came forward with their stories for this </w:t>
      </w:r>
      <w:r w:rsidR="00B56730">
        <w:t>w</w:t>
      </w:r>
      <w:r w:rsidR="00581A5E" w:rsidRPr="00A618BE">
        <w:t xml:space="preserve">hite </w:t>
      </w:r>
      <w:r w:rsidR="00B56730">
        <w:t>p</w:t>
      </w:r>
      <w:r w:rsidR="00581A5E" w:rsidRPr="00A618BE">
        <w:t>aper would describe their partners as ‘rigid in their masculine roles’</w:t>
      </w:r>
      <w:r w:rsidR="00581A5E">
        <w:t>.</w:t>
      </w:r>
      <w:r w:rsidR="00581A5E" w:rsidRPr="00A618BE">
        <w:rPr>
          <w:rStyle w:val="EndnoteReference"/>
        </w:rPr>
        <w:endnoteReference w:id="146"/>
      </w:r>
      <w:r w:rsidR="00581A5E">
        <w:t xml:space="preserve"> </w:t>
      </w:r>
      <w:r w:rsidR="00581A5E" w:rsidRPr="00A618BE">
        <w:t>In fact most of them have described their relationships as loving and equal in decision-making in almost all aspects of their lives, apart from when it came to sex and reproduction. The portrayal of gender roles through media and popular culture, through public discourse and the everyday interactions within our community can, however, create constant, unconscious and underlying reinforcement of these roles</w:t>
      </w:r>
      <w:r w:rsidR="00581A5E">
        <w:t>.</w:t>
      </w:r>
      <w:r w:rsidR="00581A5E" w:rsidRPr="00A618BE">
        <w:rPr>
          <w:rStyle w:val="EndnoteReference"/>
        </w:rPr>
        <w:endnoteReference w:id="147"/>
      </w:r>
      <w:r w:rsidR="00581A5E" w:rsidRPr="00A618BE">
        <w:t xml:space="preserve"> This constant reinforcement through stereotypes allows unconscious bias to drive deep-seated gender inequalities that can condone attitudes leading to violence and coercion. Rigid masculine and feminine gender roles are driven from external or structural forces, such as media and social commentary, </w:t>
      </w:r>
      <w:proofErr w:type="gramStart"/>
      <w:r w:rsidR="00581A5E" w:rsidRPr="00A618BE">
        <w:t>and also</w:t>
      </w:r>
      <w:proofErr w:type="gramEnd"/>
      <w:r w:rsidR="00581A5E" w:rsidRPr="00A618BE">
        <w:t xml:space="preserve"> by interpersonal relationships and reinforcement from partners, parents, teachers, siblings, peers and others</w:t>
      </w:r>
      <w:r w:rsidR="00581A5E">
        <w:t>.</w:t>
      </w:r>
      <w:r w:rsidR="00581A5E" w:rsidRPr="00A618BE">
        <w:rPr>
          <w:rStyle w:val="EndnoteReference"/>
        </w:rPr>
        <w:endnoteReference w:id="148"/>
      </w:r>
      <w:r w:rsidR="00581A5E" w:rsidRPr="00A618BE">
        <w:t xml:space="preserve"> </w:t>
      </w:r>
    </w:p>
    <w:p w14:paraId="076D3347" w14:textId="77777777" w:rsidR="00581A5E" w:rsidRPr="00A618BE" w:rsidRDefault="00581A5E" w:rsidP="00D0581F">
      <w:proofErr w:type="gramStart"/>
      <w:r w:rsidRPr="00A618BE">
        <w:t>A number of</w:t>
      </w:r>
      <w:proofErr w:type="gramEnd"/>
      <w:r w:rsidRPr="00A618BE">
        <w:t xml:space="preserve"> submissions highlighted the impact of the media in the reinforcement of rigid gender roles, including:</w:t>
      </w:r>
    </w:p>
    <w:p w14:paraId="0354E2B2" w14:textId="4C17E96E" w:rsidR="00581A5E" w:rsidRPr="00A618BE" w:rsidRDefault="00CC20B4" w:rsidP="00D0581F">
      <w:pPr>
        <w:pStyle w:val="ListParagraph"/>
        <w:numPr>
          <w:ilvl w:val="0"/>
          <w:numId w:val="28"/>
        </w:numPr>
        <w:spacing w:before="240" w:after="240"/>
      </w:pPr>
      <w:r>
        <w:t>t</w:t>
      </w:r>
      <w:r w:rsidR="00581A5E" w:rsidRPr="00A618BE">
        <w:t>he impact of pornography and the normalising of male pleasure over female pleasure</w:t>
      </w:r>
    </w:p>
    <w:p w14:paraId="6A89671B" w14:textId="4C62FF98" w:rsidR="00581A5E" w:rsidRPr="00A618BE" w:rsidRDefault="00CC20B4" w:rsidP="00D0581F">
      <w:pPr>
        <w:pStyle w:val="ListParagraph"/>
        <w:numPr>
          <w:ilvl w:val="0"/>
          <w:numId w:val="28"/>
        </w:numPr>
        <w:spacing w:before="240" w:after="240"/>
      </w:pPr>
      <w:r>
        <w:t>t</w:t>
      </w:r>
      <w:r w:rsidR="00581A5E" w:rsidRPr="00A618BE">
        <w:t>he normalising of motherhood as the ultimate feminine role and core to female identity</w:t>
      </w:r>
    </w:p>
    <w:p w14:paraId="6BAFA318" w14:textId="681A1802" w:rsidR="00581A5E" w:rsidRDefault="00CC20B4" w:rsidP="00D0581F">
      <w:pPr>
        <w:pStyle w:val="ListParagraph"/>
        <w:numPr>
          <w:ilvl w:val="0"/>
          <w:numId w:val="28"/>
        </w:numPr>
        <w:spacing w:before="240" w:after="240"/>
      </w:pPr>
      <w:r>
        <w:t>t</w:t>
      </w:r>
      <w:r w:rsidR="00581A5E" w:rsidRPr="00A618BE">
        <w:t>he portrayals of heterosexual sexual encounters in the media that normalise lack of contraception and contraception negotiation</w:t>
      </w:r>
      <w:r w:rsidR="00581A5E">
        <w:t>.</w:t>
      </w:r>
      <w:r w:rsidR="00581A5E" w:rsidRPr="00A618BE">
        <w:rPr>
          <w:rStyle w:val="EndnoteReference"/>
        </w:rPr>
        <w:endnoteReference w:id="149"/>
      </w:r>
      <w:r w:rsidR="00581A5E" w:rsidRPr="00A618BE">
        <w:t xml:space="preserve"> </w:t>
      </w:r>
    </w:p>
    <w:p w14:paraId="4C10CECC" w14:textId="706162AD" w:rsidR="00581A5E" w:rsidRPr="00BE4A29" w:rsidRDefault="00581A5E" w:rsidP="00D0581F">
      <w:pPr>
        <w:rPr>
          <w:b/>
        </w:rPr>
      </w:pPr>
      <w:r w:rsidRPr="00BE4A29">
        <w:rPr>
          <w:b/>
        </w:rPr>
        <w:t xml:space="preserve">Addressing </w:t>
      </w:r>
      <w:r w:rsidR="00CC20B4">
        <w:rPr>
          <w:b/>
        </w:rPr>
        <w:t>s</w:t>
      </w:r>
      <w:r w:rsidRPr="00BE4A29">
        <w:rPr>
          <w:b/>
        </w:rPr>
        <w:t xml:space="preserve">ocial </w:t>
      </w:r>
      <w:r w:rsidR="00CC20B4">
        <w:rPr>
          <w:b/>
        </w:rPr>
        <w:t>d</w:t>
      </w:r>
      <w:r w:rsidRPr="00BE4A29">
        <w:rPr>
          <w:b/>
        </w:rPr>
        <w:t>rivers</w:t>
      </w:r>
    </w:p>
    <w:p w14:paraId="3BDA4459" w14:textId="695B8B60" w:rsidR="00581A5E" w:rsidRPr="00A618BE" w:rsidRDefault="00581A5E" w:rsidP="00D0581F">
      <w:r w:rsidRPr="00A618BE">
        <w:t xml:space="preserve">Addressing </w:t>
      </w:r>
      <w:r w:rsidR="00452411">
        <w:t>r</w:t>
      </w:r>
      <w:r w:rsidR="00452411" w:rsidRPr="00A618BE">
        <w:t xml:space="preserve">eproductive </w:t>
      </w:r>
      <w:r w:rsidR="00452411">
        <w:t>c</w:t>
      </w:r>
      <w:r w:rsidR="00452411" w:rsidRPr="00A618BE">
        <w:t>oercion</w:t>
      </w:r>
      <w:r w:rsidR="00452411">
        <w:t xml:space="preserve"> </w:t>
      </w:r>
      <w:r w:rsidRPr="00A618BE">
        <w:t>in a social context is complex and requires a significant, intergenerational response</w:t>
      </w:r>
      <w:r>
        <w:t>.</w:t>
      </w:r>
      <w:r w:rsidRPr="00A618BE">
        <w:rPr>
          <w:rStyle w:val="EndnoteReference"/>
        </w:rPr>
        <w:endnoteReference w:id="150"/>
      </w:r>
      <w:r w:rsidRPr="00A618BE">
        <w:t xml:space="preserve"> Like FV, IPV and SV, addressing rigid gender roles and challenging the social norms that can enable </w:t>
      </w:r>
      <w:r w:rsidR="00452411">
        <w:t>r</w:t>
      </w:r>
      <w:r w:rsidR="00452411" w:rsidRPr="00A618BE">
        <w:t xml:space="preserve">eproductive </w:t>
      </w:r>
      <w:r w:rsidR="00452411">
        <w:t>c</w:t>
      </w:r>
      <w:r w:rsidR="00452411" w:rsidRPr="00A618BE">
        <w:t>oercion</w:t>
      </w:r>
      <w:r w:rsidR="00452411">
        <w:t xml:space="preserve"> </w:t>
      </w:r>
      <w:r w:rsidRPr="00A618BE">
        <w:t xml:space="preserve">is the first step. </w:t>
      </w:r>
    </w:p>
    <w:p w14:paraId="3F7CD4D0" w14:textId="77777777" w:rsidR="00581A5E" w:rsidRPr="00A618BE" w:rsidRDefault="00581A5E" w:rsidP="00D0581F">
      <w:r w:rsidRPr="00A618BE">
        <w:t>Gender stereotyping is reinforced through media, imagery and language from a very young age</w:t>
      </w:r>
      <w:r>
        <w:t>.</w:t>
      </w:r>
      <w:r w:rsidRPr="00A618BE">
        <w:rPr>
          <w:rStyle w:val="EndnoteReference"/>
        </w:rPr>
        <w:endnoteReference w:id="151"/>
      </w:r>
      <w:r w:rsidRPr="00A618BE">
        <w:t xml:space="preserve"> It starts in the early years of childhood with the reinforcement of rigid notions of what it is to be male or female; blue or pink; dolls or trucks; soft or strong</w:t>
      </w:r>
      <w:r>
        <w:t>.</w:t>
      </w:r>
      <w:r w:rsidRPr="00A618BE">
        <w:rPr>
          <w:rStyle w:val="EndnoteReference"/>
        </w:rPr>
        <w:endnoteReference w:id="152"/>
      </w:r>
      <w:r w:rsidRPr="00A618BE">
        <w:t xml:space="preserve"> The formation of these stereotypes becomes embedded and grows strong throughout the years.  Portraying less dichotomised, traditional versions of gender roles will provide children with an opportunity to grow up with more open ideas about gender roles. </w:t>
      </w:r>
    </w:p>
    <w:p w14:paraId="32FCF82B" w14:textId="5B371628" w:rsidR="00581A5E" w:rsidRPr="00A618BE" w:rsidRDefault="00581A5E" w:rsidP="00D0581F">
      <w:r w:rsidRPr="00A618BE">
        <w:t xml:space="preserve">School-based programs that focus on respectful relationships </w:t>
      </w:r>
      <w:r w:rsidR="00D12610">
        <w:t xml:space="preserve">can </w:t>
      </w:r>
      <w:r w:rsidRPr="00A618BE">
        <w:t>provide an</w:t>
      </w:r>
      <w:r w:rsidR="00D12610">
        <w:t xml:space="preserve"> </w:t>
      </w:r>
      <w:r w:rsidRPr="00A618BE">
        <w:t xml:space="preserve">opportunity to help children develop more open ideas about gender and the nature of power and control in a relationship. Research from North America reveals that by the time </w:t>
      </w:r>
      <w:r>
        <w:t xml:space="preserve">a </w:t>
      </w:r>
      <w:r w:rsidRPr="00A618BE">
        <w:t xml:space="preserve">child reaches </w:t>
      </w:r>
      <w:r w:rsidR="00D12610">
        <w:t>puberty</w:t>
      </w:r>
      <w:r w:rsidRPr="00A618BE">
        <w:t xml:space="preserve">, ideas about gender roles within sexual relationships can influence their susceptibility to </w:t>
      </w:r>
      <w:r w:rsidR="00452411">
        <w:t>r</w:t>
      </w:r>
      <w:r w:rsidR="00452411" w:rsidRPr="00A618BE">
        <w:t xml:space="preserve">eproductive </w:t>
      </w:r>
      <w:r w:rsidR="00452411">
        <w:t>c</w:t>
      </w:r>
      <w:r w:rsidR="00452411" w:rsidRPr="00A618BE">
        <w:t>oercion</w:t>
      </w:r>
      <w:r w:rsidRPr="00A618BE">
        <w:t>.</w:t>
      </w:r>
      <w:r w:rsidRPr="00A618BE">
        <w:rPr>
          <w:rStyle w:val="EndnoteReference"/>
        </w:rPr>
        <w:endnoteReference w:id="153"/>
      </w:r>
      <w:r w:rsidRPr="00A618BE">
        <w:t xml:space="preserve"> Therefore programs that teach </w:t>
      </w:r>
      <w:r w:rsidR="00D12610">
        <w:t xml:space="preserve">relationships and sexuality education alongside </w:t>
      </w:r>
      <w:r w:rsidRPr="00A618BE">
        <w:t>respectful relationships and encourage health literacy, self-esteem and shared decision-making about sexual and reproductive health and rights are important</w:t>
      </w:r>
      <w:r>
        <w:t>.</w:t>
      </w:r>
      <w:r w:rsidRPr="00A618BE">
        <w:rPr>
          <w:rStyle w:val="EndnoteReference"/>
        </w:rPr>
        <w:endnoteReference w:id="154"/>
      </w:r>
      <w:r w:rsidRPr="00A618BE">
        <w:t xml:space="preserve"> </w:t>
      </w:r>
    </w:p>
    <w:p w14:paraId="2DC963D6" w14:textId="5476843B" w:rsidR="00581A5E" w:rsidRPr="00A618BE" w:rsidRDefault="00581A5E" w:rsidP="00D0581F">
      <w:r w:rsidRPr="00A618BE">
        <w:lastRenderedPageBreak/>
        <w:t>The media also plays a significant role in both condoning and challenging gender stereotypes</w:t>
      </w:r>
      <w:r w:rsidRPr="00A618BE">
        <w:rPr>
          <w:rStyle w:val="EndnoteReference"/>
        </w:rPr>
        <w:endnoteReference w:id="155"/>
      </w:r>
      <w:r w:rsidRPr="00A618BE">
        <w:t>. Gender stereotyping in advertising is an issue that is</w:t>
      </w:r>
      <w:r>
        <w:t xml:space="preserve"> currently</w:t>
      </w:r>
      <w:r w:rsidRPr="00A618BE">
        <w:t xml:space="preserve"> being addressed by advertising regulation bodies in Australia and the United Kingdom. Advertising regulatory bodies in both countries have produced guidelines and codes of ethics that directly challenge, and in some cases ban, advertising that perpetuates negative and rigid gender stereotyping</w:t>
      </w:r>
      <w:r>
        <w:t>.</w:t>
      </w:r>
      <w:r w:rsidRPr="00A618BE">
        <w:rPr>
          <w:rStyle w:val="EndnoteReference"/>
        </w:rPr>
        <w:endnoteReference w:id="156"/>
      </w:r>
      <w:r w:rsidRPr="00A618BE">
        <w:rPr>
          <w:rStyle w:val="EndnoteReference"/>
        </w:rPr>
        <w:endnoteReference w:id="157"/>
      </w:r>
      <w:r w:rsidRPr="00A618BE">
        <w:t xml:space="preserve"> In the wake of #</w:t>
      </w:r>
      <w:r w:rsidR="00452411">
        <w:t>M</w:t>
      </w:r>
      <w:r w:rsidRPr="00A618BE">
        <w:t>e</w:t>
      </w:r>
      <w:r w:rsidR="00452411">
        <w:t>T</w:t>
      </w:r>
      <w:r w:rsidRPr="00A618BE">
        <w:t>oo and #</w:t>
      </w:r>
      <w:r w:rsidR="00452411">
        <w:t>T</w:t>
      </w:r>
      <w:r w:rsidRPr="00A618BE">
        <w:t>imes</w:t>
      </w:r>
      <w:r w:rsidR="00452411">
        <w:t>U</w:t>
      </w:r>
      <w:r w:rsidRPr="00A618BE">
        <w:t>p campaigns, a number of film bodies are also attempting to address the issue of gender stereotyping and representation of diversity in the film industry</w:t>
      </w:r>
      <w:r>
        <w:t>.</w:t>
      </w:r>
      <w:r w:rsidRPr="00A618BE">
        <w:rPr>
          <w:rStyle w:val="EndnoteReference"/>
        </w:rPr>
        <w:endnoteReference w:id="158"/>
      </w:r>
      <w:r>
        <w:t xml:space="preserve"> </w:t>
      </w:r>
      <w:r w:rsidRPr="00A618BE">
        <w:t>Guidelines have also been developed to assist journalist better report on gender issues and challenge gender stereotypes</w:t>
      </w:r>
      <w:r>
        <w:t>.</w:t>
      </w:r>
      <w:r w:rsidRPr="00A618BE">
        <w:rPr>
          <w:rStyle w:val="EndnoteReference"/>
        </w:rPr>
        <w:endnoteReference w:id="159"/>
      </w:r>
    </w:p>
    <w:p w14:paraId="2207D6E5" w14:textId="61BBA8B8" w:rsidR="00581A5E" w:rsidRDefault="00581A5E" w:rsidP="00D0581F">
      <w:r w:rsidRPr="00A618BE">
        <w:t xml:space="preserve">There is no one action alone that will address social drivers of </w:t>
      </w:r>
      <w:r w:rsidR="00452411">
        <w:t>r</w:t>
      </w:r>
      <w:r w:rsidR="00452411" w:rsidRPr="00A618BE">
        <w:t xml:space="preserve">eproductive </w:t>
      </w:r>
      <w:r w:rsidR="00452411">
        <w:t>c</w:t>
      </w:r>
      <w:r w:rsidR="00452411" w:rsidRPr="00A618BE">
        <w:t>oercion</w:t>
      </w:r>
      <w:r w:rsidRPr="00A618BE">
        <w:t xml:space="preserve">. </w:t>
      </w:r>
      <w:proofErr w:type="gramStart"/>
      <w:r w:rsidRPr="00A618BE">
        <w:t>However</w:t>
      </w:r>
      <w:proofErr w:type="gramEnd"/>
      <w:r w:rsidRPr="00A618BE">
        <w:t xml:space="preserve"> when implemented together and coordinated through existing social infrastructure such as not-for-profit organisations, businesses and governments, and implemented across multiple settings such as schools and public spaces, these efforts can help to drive social change</w:t>
      </w:r>
      <w:r>
        <w:t>.</w:t>
      </w:r>
      <w:r w:rsidRPr="00A618BE">
        <w:rPr>
          <w:rStyle w:val="EndnoteReference"/>
        </w:rPr>
        <w:endnoteReference w:id="160"/>
      </w:r>
    </w:p>
    <w:p w14:paraId="21CBD3FA" w14:textId="706DFA97" w:rsidR="00581A5E" w:rsidRDefault="00581A5E" w:rsidP="00D0581F">
      <w:bookmarkStart w:id="129" w:name="_Toc530573375"/>
    </w:p>
    <w:p w14:paraId="238FEDEC" w14:textId="3AAA92AE" w:rsidR="00581A5E" w:rsidRDefault="00CC20B4" w:rsidP="00D0581F">
      <w:pPr>
        <w:rPr>
          <w:b/>
        </w:rPr>
      </w:pPr>
      <w:r w:rsidRPr="00CC20B4">
        <w:rPr>
          <w:b/>
          <w:noProof/>
          <w:lang w:eastAsia="en-AU"/>
        </w:rPr>
        <w:lastRenderedPageBreak/>
        <mc:AlternateContent>
          <mc:Choice Requires="wps">
            <w:drawing>
              <wp:anchor distT="45720" distB="45720" distL="114300" distR="114300" simplePos="0" relativeHeight="251692032" behindDoc="0" locked="0" layoutInCell="1" allowOverlap="1" wp14:anchorId="53EB7C89" wp14:editId="760DDCDC">
                <wp:simplePos x="0" y="0"/>
                <wp:positionH relativeFrom="margin">
                  <wp:posOffset>-1270</wp:posOffset>
                </wp:positionH>
                <wp:positionV relativeFrom="paragraph">
                  <wp:posOffset>461010</wp:posOffset>
                </wp:positionV>
                <wp:extent cx="573786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404620"/>
                        </a:xfrm>
                        <a:prstGeom prst="rect">
                          <a:avLst/>
                        </a:prstGeom>
                        <a:solidFill>
                          <a:srgbClr val="9BAF91"/>
                        </a:solidFill>
                        <a:ln w="9525">
                          <a:noFill/>
                          <a:miter lim="800000"/>
                          <a:headEnd/>
                          <a:tailEnd/>
                        </a:ln>
                      </wps:spPr>
                      <wps:txbx>
                        <w:txbxContent>
                          <w:p w14:paraId="69C7A37C" w14:textId="3DBBE8BD" w:rsidR="00D76477" w:rsidRPr="00022D34" w:rsidRDefault="00D76477" w:rsidP="00CC20B4">
                            <w:pPr>
                              <w:rPr>
                                <w:b/>
                                <w:sz w:val="44"/>
                              </w:rPr>
                            </w:pPr>
                            <w:r>
                              <w:rPr>
                                <w:b/>
                              </w:rPr>
                              <w:t>“</w:t>
                            </w:r>
                            <w:r w:rsidRPr="00022D34">
                              <w:rPr>
                                <w:b/>
                              </w:rPr>
                              <w:t>I grew up in an ultra-orthodox closed Jewish community. From a young age I was taught that my only purpose in life as an ultra-orthodox Jewish woman was to give birth to the next generation of law abiding ultra-orthodox Jews. My education was heavily based on the idea that the only purpose of having children was to further this mission.</w:t>
                            </w:r>
                          </w:p>
                          <w:p w14:paraId="2AD7BCF7" w14:textId="77777777" w:rsidR="00D76477" w:rsidRPr="00022D34" w:rsidRDefault="00D76477" w:rsidP="00CC20B4">
                            <w:pPr>
                              <w:rPr>
                                <w:b/>
                                <w:sz w:val="44"/>
                              </w:rPr>
                            </w:pPr>
                            <w:r w:rsidRPr="00022D34">
                              <w:rPr>
                                <w:b/>
                              </w:rPr>
                              <w:t>We had absolutely no sexual education at school and were forbidden to read any book that was not vetted. Books we could read contained no information that would even suggest what a normal relationship between adult partners should look like. The lack of education meant I had no exposure to material that would inform me of my rights.</w:t>
                            </w:r>
                          </w:p>
                          <w:p w14:paraId="31791F4E" w14:textId="77777777" w:rsidR="00D76477" w:rsidRPr="00022D34" w:rsidRDefault="00D76477" w:rsidP="00CC20B4">
                            <w:pPr>
                              <w:rPr>
                                <w:b/>
                                <w:sz w:val="44"/>
                              </w:rPr>
                            </w:pPr>
                            <w:r w:rsidRPr="00022D34">
                              <w:rPr>
                                <w:b/>
                              </w:rPr>
                              <w:t xml:space="preserve">At 18 the knowledge I had about my body and my rights were that of a 4-year-old. I was arranged to marry a young man and prior to my wedding I was given bridal lessons about how I was to have sexual relations with my partner. The rules around our sex life were long and detailed and we were instructed to ask our Rabbi about any questions we may have over time. I understood that if there were any issues with pregnancy, birth control or giving birth, the </w:t>
                            </w:r>
                            <w:r>
                              <w:rPr>
                                <w:b/>
                              </w:rPr>
                              <w:t>R</w:t>
                            </w:r>
                            <w:r w:rsidRPr="00022D34">
                              <w:rPr>
                                <w:b/>
                              </w:rPr>
                              <w:t>abbi would make the final decision on how to proceed.</w:t>
                            </w:r>
                          </w:p>
                          <w:p w14:paraId="0EB2C96F" w14:textId="77777777" w:rsidR="00D76477" w:rsidRPr="00022D34" w:rsidRDefault="00D76477" w:rsidP="00CC20B4">
                            <w:pPr>
                              <w:rPr>
                                <w:b/>
                                <w:sz w:val="44"/>
                              </w:rPr>
                            </w:pPr>
                            <w:r w:rsidRPr="00022D34">
                              <w:rPr>
                                <w:b/>
                              </w:rPr>
                              <w:t xml:space="preserve">The rules detailed the times I could or could not be with my partner and how to transition between these two times; I was not allowed to be with my husband during my period or the 7 days after I finished my period. I was considered ‘unclean’ during this time and could not be seen naked by my husband. This included my uncovered </w:t>
                            </w:r>
                            <w:proofErr w:type="gramStart"/>
                            <w:r w:rsidRPr="00022D34">
                              <w:rPr>
                                <w:b/>
                              </w:rPr>
                              <w:t>hair</w:t>
                            </w:r>
                            <w:proofErr w:type="gramEnd"/>
                            <w:r w:rsidRPr="00022D34">
                              <w:rPr>
                                <w:b/>
                              </w:rPr>
                              <w:t xml:space="preserve"> so I wore wigs. I could not even pass something directly to him with the worry that I would mistakenly touch him. For 7 days after my period I needed to check my ‘cleanliness’ status with special cloths twice a day to ensure I had no blood. If I found </w:t>
                            </w:r>
                            <w:proofErr w:type="gramStart"/>
                            <w:r w:rsidRPr="00022D34">
                              <w:rPr>
                                <w:b/>
                              </w:rPr>
                              <w:t>blood</w:t>
                            </w:r>
                            <w:proofErr w:type="gramEnd"/>
                            <w:r w:rsidRPr="00022D34">
                              <w:rPr>
                                <w:b/>
                              </w:rPr>
                              <w:t xml:space="preserve"> I would have to start counting the 7 ‘clean’ days again.</w:t>
                            </w:r>
                          </w:p>
                          <w:p w14:paraId="7BE64F7C" w14:textId="0EAE16BC" w:rsidR="00D76477" w:rsidRDefault="00D76477" w:rsidP="00CC20B4">
                            <w:pPr>
                              <w:rPr>
                                <w:b/>
                              </w:rPr>
                            </w:pPr>
                            <w:r w:rsidRPr="00022D34">
                              <w:rPr>
                                <w:b/>
                              </w:rPr>
                              <w:t>Sometimes when a small amount of blood was found the question of whether it constituted enough of a problem to begin counting again would be up to the Rabbi to decide. My underwear or special cloth was taken to the Rabbi and he would inspect it and then make his ruling.</w:t>
                            </w:r>
                          </w:p>
                          <w:p w14:paraId="47AAEC02" w14:textId="7C08D2E9" w:rsidR="00D76477" w:rsidRPr="00022D34" w:rsidRDefault="00D76477" w:rsidP="00CC20B4">
                            <w:pPr>
                              <w:rPr>
                                <w:b/>
                                <w:sz w:val="44"/>
                              </w:rPr>
                            </w:pPr>
                            <w:r>
                              <w:rPr>
                                <w:b/>
                              </w:rPr>
                              <w:t>[continued next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7C89" id="_x0000_s1033" type="#_x0000_t202" style="position:absolute;margin-left:-.1pt;margin-top:36.3pt;width:451.8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" fillcolor="#9baf91" stroked="f">
                <v:textbox style="mso-fit-shape-to-text:t">
                  <w:txbxContent>
                    <w:p w14:paraId="69C7A37C" w14:textId="3DBBE8BD" w:rsidR="00D76477" w:rsidRPr="00022D34" w:rsidRDefault="00D76477" w:rsidP="00CC20B4">
                      <w:pPr>
                        <w:rPr>
                          <w:b/>
                          <w:sz w:val="44"/>
                        </w:rPr>
                      </w:pPr>
                      <w:r>
                        <w:rPr>
                          <w:b/>
                        </w:rPr>
                        <w:t>“</w:t>
                      </w:r>
                      <w:r w:rsidRPr="00022D34">
                        <w:rPr>
                          <w:b/>
                        </w:rPr>
                        <w:t>I grew up in an ultra-orthodox closed Jewish community. From a young age I was taught that my only purpose in life as an ultra-orthodox Jewish woman was to give birth to the next generation of law abiding ultra-orthodox Jews. My education was heavily based on the idea that the only purpose of having children was to further this mission.</w:t>
                      </w:r>
                    </w:p>
                    <w:p w14:paraId="2AD7BCF7" w14:textId="77777777" w:rsidR="00D76477" w:rsidRPr="00022D34" w:rsidRDefault="00D76477" w:rsidP="00CC20B4">
                      <w:pPr>
                        <w:rPr>
                          <w:b/>
                          <w:sz w:val="44"/>
                        </w:rPr>
                      </w:pPr>
                      <w:r w:rsidRPr="00022D34">
                        <w:rPr>
                          <w:b/>
                        </w:rPr>
                        <w:t>We had absolutely no sexual education at school and were forbidden to read any book that was not vetted. Books we could read contained no information that would even suggest what a normal relationship between adult partners should look like. The lack of education meant I had no exposure to material that would inform me of my rights.</w:t>
                      </w:r>
                    </w:p>
                    <w:p w14:paraId="31791F4E" w14:textId="77777777" w:rsidR="00D76477" w:rsidRPr="00022D34" w:rsidRDefault="00D76477" w:rsidP="00CC20B4">
                      <w:pPr>
                        <w:rPr>
                          <w:b/>
                          <w:sz w:val="44"/>
                        </w:rPr>
                      </w:pPr>
                      <w:r w:rsidRPr="00022D34">
                        <w:rPr>
                          <w:b/>
                        </w:rPr>
                        <w:t xml:space="preserve">At 18 the knowledge I had about my body and my rights were that of a 4-year-old. I was arranged to marry a young man and prior to my wedding I was given bridal lessons about how I was to have sexual relations with my partner. The rules around our sex life were long and detailed and we were instructed to ask our Rabbi about any questions we may have over time. I understood that if there were any issues with pregnancy, birth control or giving birth, the </w:t>
                      </w:r>
                      <w:r>
                        <w:rPr>
                          <w:b/>
                        </w:rPr>
                        <w:t>R</w:t>
                      </w:r>
                      <w:r w:rsidRPr="00022D34">
                        <w:rPr>
                          <w:b/>
                        </w:rPr>
                        <w:t>abbi would make the final decision on how to proceed.</w:t>
                      </w:r>
                    </w:p>
                    <w:p w14:paraId="0EB2C96F" w14:textId="77777777" w:rsidR="00D76477" w:rsidRPr="00022D34" w:rsidRDefault="00D76477" w:rsidP="00CC20B4">
                      <w:pPr>
                        <w:rPr>
                          <w:b/>
                          <w:sz w:val="44"/>
                        </w:rPr>
                      </w:pPr>
                      <w:r w:rsidRPr="00022D34">
                        <w:rPr>
                          <w:b/>
                        </w:rPr>
                        <w:t xml:space="preserve">The rules detailed the times I could or could not be with my partner and how to transition between these two times; I was not allowed to be with my husband during my period or the 7 days after I finished my period. I was considered ‘unclean’ during this time and could not be seen naked by my husband. This included my uncovered </w:t>
                      </w:r>
                      <w:proofErr w:type="gramStart"/>
                      <w:r w:rsidRPr="00022D34">
                        <w:rPr>
                          <w:b/>
                        </w:rPr>
                        <w:t>hair</w:t>
                      </w:r>
                      <w:proofErr w:type="gramEnd"/>
                      <w:r w:rsidRPr="00022D34">
                        <w:rPr>
                          <w:b/>
                        </w:rPr>
                        <w:t xml:space="preserve"> so I wore wigs. I could not even pass something directly to him with the worry that I would mistakenly touch him. For 7 days after my period I needed to check my ‘cleanliness’ status with special cloths twice a day to ensure I had no blood. If I found </w:t>
                      </w:r>
                      <w:proofErr w:type="gramStart"/>
                      <w:r w:rsidRPr="00022D34">
                        <w:rPr>
                          <w:b/>
                        </w:rPr>
                        <w:t>blood</w:t>
                      </w:r>
                      <w:proofErr w:type="gramEnd"/>
                      <w:r w:rsidRPr="00022D34">
                        <w:rPr>
                          <w:b/>
                        </w:rPr>
                        <w:t xml:space="preserve"> I would have to start counting the 7 ‘clean’ days again.</w:t>
                      </w:r>
                    </w:p>
                    <w:p w14:paraId="7BE64F7C" w14:textId="0EAE16BC" w:rsidR="00D76477" w:rsidRDefault="00D76477" w:rsidP="00CC20B4">
                      <w:pPr>
                        <w:rPr>
                          <w:b/>
                        </w:rPr>
                      </w:pPr>
                      <w:r w:rsidRPr="00022D34">
                        <w:rPr>
                          <w:b/>
                        </w:rPr>
                        <w:t>Sometimes when a small amount of blood was found the question of whether it constituted enough of a problem to begin counting again would be up to the Rabbi to decide. My underwear or special cloth was taken to the Rabbi and he would inspect it and then make his ruling.</w:t>
                      </w:r>
                    </w:p>
                    <w:p w14:paraId="47AAEC02" w14:textId="7C08D2E9" w:rsidR="00D76477" w:rsidRPr="00022D34" w:rsidRDefault="00D76477" w:rsidP="00CC20B4">
                      <w:pPr>
                        <w:rPr>
                          <w:b/>
                          <w:sz w:val="44"/>
                        </w:rPr>
                      </w:pPr>
                      <w:r>
                        <w:rPr>
                          <w:b/>
                        </w:rPr>
                        <w:t>[continued next page]</w:t>
                      </w:r>
                    </w:p>
                  </w:txbxContent>
                </v:textbox>
                <w10:wrap type="square" anchorx="margin"/>
              </v:shape>
            </w:pict>
          </mc:Fallback>
        </mc:AlternateContent>
      </w:r>
      <w:r w:rsidR="00581A5E" w:rsidRPr="00BE4A29">
        <w:rPr>
          <w:b/>
        </w:rPr>
        <w:t xml:space="preserve">Cultural </w:t>
      </w:r>
      <w:r>
        <w:rPr>
          <w:b/>
        </w:rPr>
        <w:t>d</w:t>
      </w:r>
      <w:r w:rsidR="00581A5E" w:rsidRPr="00BE4A29">
        <w:rPr>
          <w:b/>
        </w:rPr>
        <w:t>rivers</w:t>
      </w:r>
      <w:bookmarkEnd w:id="129"/>
    </w:p>
    <w:p w14:paraId="73F2BE57" w14:textId="57CFBF7F" w:rsidR="00CC20B4" w:rsidRDefault="00CC20B4" w:rsidP="00D0581F">
      <w:pPr>
        <w:rPr>
          <w:b/>
        </w:rPr>
      </w:pPr>
    </w:p>
    <w:p w14:paraId="70708B5B" w14:textId="57F24BB8" w:rsidR="001F59C6" w:rsidRPr="00BE4A29" w:rsidRDefault="001F59C6" w:rsidP="00D0581F">
      <w:pPr>
        <w:rPr>
          <w:b/>
        </w:rPr>
      </w:pPr>
      <w:r w:rsidRPr="001F59C6">
        <w:rPr>
          <w:b/>
          <w:noProof/>
          <w:lang w:eastAsia="en-AU"/>
        </w:rPr>
        <w:lastRenderedPageBreak/>
        <mc:AlternateContent>
          <mc:Choice Requires="wps">
            <w:drawing>
              <wp:anchor distT="45720" distB="45720" distL="114300" distR="114300" simplePos="0" relativeHeight="251694080" behindDoc="0" locked="0" layoutInCell="1" allowOverlap="1" wp14:anchorId="3E8AE9B0" wp14:editId="1F88D50C">
                <wp:simplePos x="0" y="0"/>
                <wp:positionH relativeFrom="margin">
                  <wp:posOffset>-73660</wp:posOffset>
                </wp:positionH>
                <wp:positionV relativeFrom="paragraph">
                  <wp:posOffset>256540</wp:posOffset>
                </wp:positionV>
                <wp:extent cx="5760720" cy="1404620"/>
                <wp:effectExtent l="0" t="0" r="0" b="57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9BAF91"/>
                        </a:solidFill>
                        <a:ln w="9525">
                          <a:noFill/>
                          <a:miter lim="800000"/>
                          <a:headEnd/>
                          <a:tailEnd/>
                        </a:ln>
                      </wps:spPr>
                      <wps:txbx>
                        <w:txbxContent>
                          <w:p w14:paraId="14895FBB" w14:textId="1D746128" w:rsidR="00D76477" w:rsidRPr="00022D34" w:rsidRDefault="00D76477" w:rsidP="001F59C6">
                            <w:pPr>
                              <w:rPr>
                                <w:b/>
                                <w:sz w:val="44"/>
                              </w:rPr>
                            </w:pPr>
                            <w:r w:rsidRPr="00022D34">
                              <w:rPr>
                                <w:b/>
                              </w:rPr>
                              <w:t>All other decisions regarding the reproductive process were also decided by the Rabbi.</w:t>
                            </w:r>
                          </w:p>
                          <w:p w14:paraId="752A4CE4" w14:textId="77777777" w:rsidR="00D76477" w:rsidRPr="00022D34" w:rsidRDefault="00D76477" w:rsidP="001F59C6">
                            <w:pPr>
                              <w:rPr>
                                <w:b/>
                                <w:sz w:val="44"/>
                              </w:rPr>
                            </w:pPr>
                            <w:r w:rsidRPr="00022D34">
                              <w:rPr>
                                <w:b/>
                              </w:rPr>
                              <w:t xml:space="preserve">I was not able to get pregnant naturally and we asked the Rabbi for permission to get fertility treatments. I could not go on birth control without gaining permission from the Rabbi. After I gave birth to my daughter and struggled with postpartum </w:t>
                            </w:r>
                            <w:proofErr w:type="gramStart"/>
                            <w:r w:rsidRPr="00022D34">
                              <w:rPr>
                                <w:b/>
                              </w:rPr>
                              <w:t>depression</w:t>
                            </w:r>
                            <w:proofErr w:type="gramEnd"/>
                            <w:r w:rsidRPr="00022D34">
                              <w:rPr>
                                <w:b/>
                              </w:rPr>
                              <w:t xml:space="preserve"> I asked my husband to ask our Rabbi for permission to go on birth control. My husband refused to ask, and this played a part in the breakdown of our marriage. </w:t>
                            </w:r>
                            <w:proofErr w:type="gramStart"/>
                            <w:r w:rsidRPr="00022D34">
                              <w:rPr>
                                <w:b/>
                              </w:rPr>
                              <w:t>All of</w:t>
                            </w:r>
                            <w:proofErr w:type="gramEnd"/>
                            <w:r w:rsidRPr="00022D34">
                              <w:rPr>
                                <w:b/>
                              </w:rPr>
                              <w:t xml:space="preserve"> my reproductive decisions ultimately were made by the Rabbi and a lack of education meant I believed this was the norm.</w:t>
                            </w:r>
                          </w:p>
                          <w:p w14:paraId="72D4BD5D" w14:textId="3549F2B9" w:rsidR="00D76477" w:rsidRPr="00022D34" w:rsidRDefault="00D76477" w:rsidP="001F59C6">
                            <w:pPr>
                              <w:rPr>
                                <w:b/>
                                <w:sz w:val="44"/>
                              </w:rPr>
                            </w:pPr>
                            <w:r w:rsidRPr="00022D34">
                              <w:rPr>
                                <w:b/>
                              </w:rPr>
                              <w:t>The culture I lived in meant I had very little to no understanding about the rights I had to my own body and reproductive decisions. The closed community meant that I had little exposure to the world outside my community and the lack of education meant that I didn’t even understand I had any rights.</w:t>
                            </w:r>
                            <w:r>
                              <w:rPr>
                                <w:b/>
                              </w:rPr>
                              <w:t>”</w:t>
                            </w:r>
                          </w:p>
                          <w:p w14:paraId="66718069" w14:textId="77777777" w:rsidR="00D76477" w:rsidRPr="00022D34" w:rsidRDefault="00D76477" w:rsidP="001F59C6">
                            <w:pPr>
                              <w:rPr>
                                <w:b/>
                              </w:rPr>
                            </w:pPr>
                            <w:r w:rsidRPr="00022D34">
                              <w:rPr>
                                <w:b/>
                              </w:rPr>
                              <w:t>Helen*, Victoria</w:t>
                            </w:r>
                          </w:p>
                          <w:p w14:paraId="289F0AE3" w14:textId="5F61DD63" w:rsidR="00D76477" w:rsidRDefault="00D76477">
                            <w:r w:rsidRPr="00022D34">
                              <w:rPr>
                                <w:b/>
                              </w:rPr>
                              <w:t>*Name has been changed for privacy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8AE9B0" id="_x0000_s1034" type="#_x0000_t202" style="position:absolute;margin-left:-5.8pt;margin-top:20.2pt;width:453.6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" fillcolor="#9baf91" stroked="f">
                <v:textbox style="mso-fit-shape-to-text:t">
                  <w:txbxContent>
                    <w:p w14:paraId="14895FBB" w14:textId="1D746128" w:rsidR="00D76477" w:rsidRPr="00022D34" w:rsidRDefault="00D76477" w:rsidP="001F59C6">
                      <w:pPr>
                        <w:rPr>
                          <w:b/>
                          <w:sz w:val="44"/>
                        </w:rPr>
                      </w:pPr>
                      <w:r w:rsidRPr="00022D34">
                        <w:rPr>
                          <w:b/>
                        </w:rPr>
                        <w:t>All other decisions regarding the reproductive process were also decided by the Rabbi.</w:t>
                      </w:r>
                    </w:p>
                    <w:p w14:paraId="752A4CE4" w14:textId="77777777" w:rsidR="00D76477" w:rsidRPr="00022D34" w:rsidRDefault="00D76477" w:rsidP="001F59C6">
                      <w:pPr>
                        <w:rPr>
                          <w:b/>
                          <w:sz w:val="44"/>
                        </w:rPr>
                      </w:pPr>
                      <w:r w:rsidRPr="00022D34">
                        <w:rPr>
                          <w:b/>
                        </w:rPr>
                        <w:t xml:space="preserve">I was not able to get pregnant naturally and we asked the Rabbi for permission to get fertility treatments. I could not go on birth control without gaining permission from the Rabbi. After I gave birth to my daughter and struggled with postpartum </w:t>
                      </w:r>
                      <w:proofErr w:type="gramStart"/>
                      <w:r w:rsidRPr="00022D34">
                        <w:rPr>
                          <w:b/>
                        </w:rPr>
                        <w:t>depression</w:t>
                      </w:r>
                      <w:proofErr w:type="gramEnd"/>
                      <w:r w:rsidRPr="00022D34">
                        <w:rPr>
                          <w:b/>
                        </w:rPr>
                        <w:t xml:space="preserve"> I asked my husband to ask our Rabbi for permission to go on birth control. My husband refused to ask, and this played a part in the breakdown of our marriage. </w:t>
                      </w:r>
                      <w:proofErr w:type="gramStart"/>
                      <w:r w:rsidRPr="00022D34">
                        <w:rPr>
                          <w:b/>
                        </w:rPr>
                        <w:t>All of</w:t>
                      </w:r>
                      <w:proofErr w:type="gramEnd"/>
                      <w:r w:rsidRPr="00022D34">
                        <w:rPr>
                          <w:b/>
                        </w:rPr>
                        <w:t xml:space="preserve"> my reproductive decisions ultimately were made by the Rabbi and a lack of education meant I believed this was the norm.</w:t>
                      </w:r>
                    </w:p>
                    <w:p w14:paraId="72D4BD5D" w14:textId="3549F2B9" w:rsidR="00D76477" w:rsidRPr="00022D34" w:rsidRDefault="00D76477" w:rsidP="001F59C6">
                      <w:pPr>
                        <w:rPr>
                          <w:b/>
                          <w:sz w:val="44"/>
                        </w:rPr>
                      </w:pPr>
                      <w:r w:rsidRPr="00022D34">
                        <w:rPr>
                          <w:b/>
                        </w:rPr>
                        <w:t>The culture I lived in meant I had very little to no understanding about the rights I had to my own body and reproductive decisions. The closed community meant that I had little exposure to the world outside my community and the lack of education meant that I didn’t even understand I had any rights.</w:t>
                      </w:r>
                      <w:r>
                        <w:rPr>
                          <w:b/>
                        </w:rPr>
                        <w:t>”</w:t>
                      </w:r>
                    </w:p>
                    <w:p w14:paraId="66718069" w14:textId="77777777" w:rsidR="00D76477" w:rsidRPr="00022D34" w:rsidRDefault="00D76477" w:rsidP="001F59C6">
                      <w:pPr>
                        <w:rPr>
                          <w:b/>
                        </w:rPr>
                      </w:pPr>
                      <w:r w:rsidRPr="00022D34">
                        <w:rPr>
                          <w:b/>
                        </w:rPr>
                        <w:t>Helen*, Victoria</w:t>
                      </w:r>
                    </w:p>
                    <w:p w14:paraId="289F0AE3" w14:textId="5F61DD63" w:rsidR="00D76477" w:rsidRDefault="00D76477">
                      <w:r w:rsidRPr="00022D34">
                        <w:rPr>
                          <w:b/>
                        </w:rPr>
                        <w:t>*Name has been changed for privacy</w:t>
                      </w:r>
                    </w:p>
                  </w:txbxContent>
                </v:textbox>
                <w10:wrap type="square" anchorx="margin"/>
              </v:shape>
            </w:pict>
          </mc:Fallback>
        </mc:AlternateContent>
      </w:r>
    </w:p>
    <w:p w14:paraId="19AF0BEE" w14:textId="77777777" w:rsidR="001F59C6" w:rsidRDefault="001F59C6" w:rsidP="00D0581F"/>
    <w:p w14:paraId="434FE8E9" w14:textId="6B696673" w:rsidR="00581A5E" w:rsidRPr="00A618BE" w:rsidRDefault="00581A5E" w:rsidP="00D0581F">
      <w:r w:rsidRPr="00A618BE">
        <w:t>The reinforcement of power and control over Helen’s reproductive health passed through generations and was perpetuated by the institutions of her community, particularly education and religious institutions. Such control over her reproductive health, and other aspects of her life was, for Helen, normalised. Education, Helen says, was a catalyst to question and challenge the power and control structures of her community. Helen is no longer part of the closed community in which she grew up, but when asked what support would have helped</w:t>
      </w:r>
      <w:r w:rsidR="001F59C6">
        <w:t>,</w:t>
      </w:r>
      <w:r w:rsidRPr="00A618BE">
        <w:t xml:space="preserve"> she says education about her rights, especially her right to bodily autonomy.  </w:t>
      </w:r>
    </w:p>
    <w:p w14:paraId="6BA71480" w14:textId="42CEEAC2" w:rsidR="00581A5E" w:rsidRPr="00A618BE" w:rsidRDefault="00581A5E" w:rsidP="00D0581F">
      <w:r w:rsidRPr="00A618BE">
        <w:t xml:space="preserve">While there is little literature on the cultural drivers of </w:t>
      </w:r>
      <w:r w:rsidR="00452411">
        <w:t>r</w:t>
      </w:r>
      <w:r w:rsidR="00452411" w:rsidRPr="00A618BE">
        <w:t xml:space="preserve">eproductive </w:t>
      </w:r>
      <w:r w:rsidR="00452411">
        <w:t>c</w:t>
      </w:r>
      <w:r w:rsidR="00452411" w:rsidRPr="00A618BE">
        <w:t>oercion</w:t>
      </w:r>
      <w:r w:rsidR="00452411">
        <w:t xml:space="preserve"> </w:t>
      </w:r>
      <w:r w:rsidRPr="00A618BE">
        <w:t xml:space="preserve">specifically, there are </w:t>
      </w:r>
      <w:proofErr w:type="gramStart"/>
      <w:r w:rsidRPr="00A618BE">
        <w:t>a number of</w:t>
      </w:r>
      <w:proofErr w:type="gramEnd"/>
      <w:r w:rsidRPr="00A618BE">
        <w:t xml:space="preserve"> studies that illustrate the ways in which cultural factors can influence and condone IPV and SV. These cultural drivers include beliefs that:</w:t>
      </w:r>
    </w:p>
    <w:p w14:paraId="03CA54E3" w14:textId="1A6FE93D" w:rsidR="00581A5E" w:rsidRPr="00A618BE" w:rsidRDefault="001F59C6" w:rsidP="00D0581F">
      <w:pPr>
        <w:pStyle w:val="ListParagraph"/>
        <w:numPr>
          <w:ilvl w:val="0"/>
          <w:numId w:val="29"/>
        </w:numPr>
        <w:spacing w:before="240" w:after="240"/>
      </w:pPr>
      <w:r>
        <w:t>c</w:t>
      </w:r>
      <w:r w:rsidR="00581A5E" w:rsidRPr="00A618BE">
        <w:t>ondone male violence, particularly in heterosexual relationships</w:t>
      </w:r>
    </w:p>
    <w:p w14:paraId="0427289D" w14:textId="525377D7" w:rsidR="00581A5E" w:rsidRPr="00A618BE" w:rsidRDefault="001F59C6" w:rsidP="00D0581F">
      <w:pPr>
        <w:pStyle w:val="ListParagraph"/>
        <w:numPr>
          <w:ilvl w:val="0"/>
          <w:numId w:val="29"/>
        </w:numPr>
        <w:spacing w:before="240" w:after="240"/>
      </w:pPr>
      <w:r>
        <w:t>f</w:t>
      </w:r>
      <w:r w:rsidR="00581A5E" w:rsidRPr="00A618BE">
        <w:t>ocus on collectivism and reinforce hierarchies of power that must be protected for the ‘good of the group’</w:t>
      </w:r>
    </w:p>
    <w:p w14:paraId="6D4DBF96" w14:textId="633C46AB" w:rsidR="00581A5E" w:rsidRPr="00A618BE" w:rsidRDefault="001F59C6" w:rsidP="00D0581F">
      <w:pPr>
        <w:pStyle w:val="ListParagraph"/>
        <w:numPr>
          <w:ilvl w:val="0"/>
          <w:numId w:val="29"/>
        </w:numPr>
        <w:spacing w:before="240" w:after="240"/>
      </w:pPr>
      <w:r>
        <w:t>a</w:t>
      </w:r>
      <w:r w:rsidR="00581A5E" w:rsidRPr="00A618BE">
        <w:t>re patriarchal and thus reinforce male dominance over female structures</w:t>
      </w:r>
      <w:r w:rsidR="00581A5E">
        <w:t>.</w:t>
      </w:r>
      <w:r w:rsidR="00581A5E" w:rsidRPr="00A618BE">
        <w:rPr>
          <w:rStyle w:val="EndnoteReference"/>
          <w:color w:val="000000"/>
        </w:rPr>
        <w:endnoteReference w:id="161"/>
      </w:r>
    </w:p>
    <w:p w14:paraId="376846DA" w14:textId="77777777" w:rsidR="001F59C6" w:rsidRDefault="001F59C6">
      <w:pPr>
        <w:spacing w:after="160" w:line="259" w:lineRule="auto"/>
      </w:pPr>
      <w:r>
        <w:br w:type="page"/>
      </w:r>
    </w:p>
    <w:p w14:paraId="5ABBD24E" w14:textId="67295329" w:rsidR="00581A5E" w:rsidRPr="00A618BE" w:rsidRDefault="00581A5E" w:rsidP="00D0581F">
      <w:r w:rsidRPr="00A618BE">
        <w:lastRenderedPageBreak/>
        <w:t xml:space="preserve">A contributor to this </w:t>
      </w:r>
      <w:r w:rsidR="00452411">
        <w:t>w</w:t>
      </w:r>
      <w:r w:rsidRPr="00A618BE">
        <w:t xml:space="preserve">hite </w:t>
      </w:r>
      <w:r w:rsidR="00452411">
        <w:t>p</w:t>
      </w:r>
      <w:r w:rsidRPr="00A618BE">
        <w:t xml:space="preserve">aper, Ella, recalled her experience growing up in a </w:t>
      </w:r>
      <w:r>
        <w:t xml:space="preserve">high control </w:t>
      </w:r>
      <w:r w:rsidRPr="00A618BE">
        <w:t xml:space="preserve">Jehovah’s Witness community. </w:t>
      </w:r>
    </w:p>
    <w:tbl>
      <w:tblPr>
        <w:tblStyle w:val="LightList"/>
        <w:tblW w:w="0" w:type="auto"/>
        <w:tblBorders>
          <w:top w:val="none" w:sz="0" w:space="0" w:color="auto"/>
          <w:left w:val="none" w:sz="0" w:space="0" w:color="auto"/>
          <w:bottom w:val="none" w:sz="0" w:space="0" w:color="auto"/>
          <w:right w:val="none" w:sz="0" w:space="0" w:color="auto"/>
        </w:tblBorders>
        <w:shd w:val="clear" w:color="auto" w:fill="9BAF91"/>
        <w:tblLook w:val="04A0" w:firstRow="1" w:lastRow="0" w:firstColumn="1" w:lastColumn="0" w:noHBand="0" w:noVBand="1"/>
      </w:tblPr>
      <w:tblGrid>
        <w:gridCol w:w="9070"/>
      </w:tblGrid>
      <w:tr w:rsidR="007901DB" w:rsidRPr="007901DB" w14:paraId="1B88DC51" w14:textId="77777777" w:rsidTr="001F5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1" w:type="dxa"/>
            <w:shd w:val="clear" w:color="auto" w:fill="9BAF91"/>
          </w:tcPr>
          <w:p w14:paraId="727FDB11" w14:textId="646751E5" w:rsidR="00581A5E" w:rsidRPr="007901DB" w:rsidRDefault="001F59C6" w:rsidP="00D0581F">
            <w:pPr>
              <w:rPr>
                <w:color w:val="auto"/>
              </w:rPr>
            </w:pPr>
            <w:r>
              <w:rPr>
                <w:color w:val="auto"/>
              </w:rPr>
              <w:t>“</w:t>
            </w:r>
            <w:r w:rsidR="00581A5E" w:rsidRPr="007901DB">
              <w:rPr>
                <w:color w:val="auto"/>
              </w:rPr>
              <w:t xml:space="preserve">The Jehovah’s Witness religion I grew up in made me feel immense pressure to maintain my virginity. I dreaded the prospect of being trapped by a lifelong commitment to a husband in a community that would dictate what we did in the bedroom and I started to realise that I did not belong because I didn’t want to be married or have children in that stifling community. </w:t>
            </w:r>
          </w:p>
          <w:p w14:paraId="2E04081F" w14:textId="7CB40FA7" w:rsidR="00581A5E" w:rsidRPr="007901DB" w:rsidRDefault="00581A5E" w:rsidP="00D0581F">
            <w:pPr>
              <w:rPr>
                <w:color w:val="auto"/>
              </w:rPr>
            </w:pPr>
            <w:r w:rsidRPr="007901DB">
              <w:rPr>
                <w:color w:val="auto"/>
              </w:rPr>
              <w:t>To live a free and fulfilled life, I had to leave, which resulted in loss of my social and familial networks. This decision delayed my normal development. I subsequently didn’t feel that I had grown up until I was in my thirties.</w:t>
            </w:r>
            <w:r w:rsidR="001F59C6">
              <w:rPr>
                <w:color w:val="auto"/>
              </w:rPr>
              <w:t>”</w:t>
            </w:r>
          </w:p>
          <w:p w14:paraId="6BB86B4B" w14:textId="77777777" w:rsidR="00581A5E" w:rsidRPr="007901DB" w:rsidRDefault="00581A5E" w:rsidP="00D0581F">
            <w:pPr>
              <w:rPr>
                <w:b w:val="0"/>
                <w:color w:val="auto"/>
              </w:rPr>
            </w:pPr>
            <w:r w:rsidRPr="007901DB">
              <w:rPr>
                <w:color w:val="auto"/>
              </w:rPr>
              <w:t>Ella*, Victoria</w:t>
            </w:r>
          </w:p>
          <w:p w14:paraId="1CF91AE1" w14:textId="77777777" w:rsidR="00581A5E" w:rsidRPr="007901DB" w:rsidRDefault="00581A5E" w:rsidP="00D0581F">
            <w:pPr>
              <w:rPr>
                <w:color w:val="auto"/>
              </w:rPr>
            </w:pPr>
            <w:r w:rsidRPr="007901DB">
              <w:rPr>
                <w:color w:val="auto"/>
              </w:rPr>
              <w:t>*Name has been changed for privacy</w:t>
            </w:r>
          </w:p>
        </w:tc>
      </w:tr>
    </w:tbl>
    <w:p w14:paraId="695DB154" w14:textId="77777777" w:rsidR="001F59C6" w:rsidRDefault="001F59C6" w:rsidP="00D0581F"/>
    <w:p w14:paraId="6C78DA34" w14:textId="136A7C98" w:rsidR="00581A5E" w:rsidRPr="00EF2F15" w:rsidRDefault="001F59C6" w:rsidP="00D0581F">
      <w:pPr>
        <w:rPr>
          <w:color w:val="000000" w:themeColor="text1"/>
        </w:rPr>
      </w:pPr>
      <w:r>
        <w:rPr>
          <w:noProof/>
          <w:lang w:eastAsia="en-AU"/>
        </w:rPr>
        <mc:AlternateContent>
          <mc:Choice Requires="wps">
            <w:drawing>
              <wp:anchor distT="45720" distB="45720" distL="114300" distR="114300" simplePos="0" relativeHeight="251696128" behindDoc="0" locked="0" layoutInCell="1" allowOverlap="1" wp14:anchorId="692EB11C" wp14:editId="3A24B145">
                <wp:simplePos x="0" y="0"/>
                <wp:positionH relativeFrom="margin">
                  <wp:align>left</wp:align>
                </wp:positionH>
                <wp:positionV relativeFrom="paragraph">
                  <wp:posOffset>2475230</wp:posOffset>
                </wp:positionV>
                <wp:extent cx="5737860" cy="216408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164080"/>
                        </a:xfrm>
                        <a:prstGeom prst="rect">
                          <a:avLst/>
                        </a:prstGeom>
                        <a:solidFill>
                          <a:srgbClr val="9BAF91"/>
                        </a:solidFill>
                        <a:ln w="9525">
                          <a:noFill/>
                          <a:miter lim="800000"/>
                          <a:headEnd/>
                          <a:tailEnd/>
                        </a:ln>
                      </wps:spPr>
                      <wps:txbx>
                        <w:txbxContent>
                          <w:p w14:paraId="73769180" w14:textId="3B6C1F87" w:rsidR="00D76477" w:rsidRPr="00022D34" w:rsidRDefault="00D76477" w:rsidP="001F59C6">
                            <w:pPr>
                              <w:rPr>
                                <w:b/>
                              </w:rPr>
                            </w:pPr>
                            <w:r>
                              <w:rPr>
                                <w:b/>
                              </w:rPr>
                              <w:t>“</w:t>
                            </w:r>
                            <w:r w:rsidRPr="00022D34">
                              <w:rPr>
                                <w:b/>
                              </w:rPr>
                              <w:t xml:space="preserve">If you wanted to have an abortion you would need to hide it from your community for fear of being shunned. This is a huge burden on your mental health. While I didn’t have an </w:t>
                            </w:r>
                            <w:proofErr w:type="gramStart"/>
                            <w:r w:rsidRPr="00022D34">
                              <w:rPr>
                                <w:b/>
                              </w:rPr>
                              <w:t>abortion</w:t>
                            </w:r>
                            <w:proofErr w:type="gramEnd"/>
                            <w:r w:rsidRPr="00022D34">
                              <w:rPr>
                                <w:b/>
                              </w:rPr>
                              <w:t xml:space="preserve"> I was always prepared to, and this made me feel guilty throughout my child-bearing years. </w:t>
                            </w:r>
                          </w:p>
                          <w:p w14:paraId="26B8D808" w14:textId="1E6CE74B" w:rsidR="00D76477" w:rsidRPr="00022D34" w:rsidRDefault="00D76477" w:rsidP="001F59C6">
                            <w:pPr>
                              <w:rPr>
                                <w:b/>
                              </w:rPr>
                            </w:pPr>
                            <w:r w:rsidRPr="00022D34">
                              <w:rPr>
                                <w:b/>
                              </w:rPr>
                              <w:t xml:space="preserve">If you are a woman in a high control community like this, you have limited access to income, you </w:t>
                            </w:r>
                            <w:proofErr w:type="gramStart"/>
                            <w:r w:rsidRPr="00022D34">
                              <w:rPr>
                                <w:b/>
                              </w:rPr>
                              <w:t>don’t</w:t>
                            </w:r>
                            <w:proofErr w:type="gramEnd"/>
                            <w:r w:rsidRPr="00022D34">
                              <w:rPr>
                                <w:b/>
                              </w:rPr>
                              <w:t xml:space="preserve"> have a voice and you don’t have control over your body.  Trying to seek health support, particularly mental health support is difficult socially and economically.</w:t>
                            </w:r>
                            <w:r>
                              <w:rPr>
                                <w:b/>
                              </w:rPr>
                              <w:t>”</w:t>
                            </w:r>
                            <w:r w:rsidRPr="00022D34">
                              <w:rPr>
                                <w:b/>
                              </w:rPr>
                              <w:t xml:space="preserve"> </w:t>
                            </w:r>
                          </w:p>
                          <w:p w14:paraId="4E5A4C21" w14:textId="1CC4D351" w:rsidR="00D76477" w:rsidRDefault="00D76477" w:rsidP="001F59C6">
                            <w:r w:rsidRPr="00022D34">
                              <w:rPr>
                                <w:b/>
                              </w:rPr>
                              <w:t>Ella, Victoria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EB11C" id="_x0000_s1035" type="#_x0000_t202" style="position:absolute;margin-left:0;margin-top:194.9pt;width:451.8pt;height:170.4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" fillcolor="#9baf91" stroked="f">
                <v:textbox>
                  <w:txbxContent>
                    <w:p w14:paraId="73769180" w14:textId="3B6C1F87" w:rsidR="00D76477" w:rsidRPr="00022D34" w:rsidRDefault="00D76477" w:rsidP="001F59C6">
                      <w:pPr>
                        <w:rPr>
                          <w:b/>
                        </w:rPr>
                      </w:pPr>
                      <w:r>
                        <w:rPr>
                          <w:b/>
                        </w:rPr>
                        <w:t>“</w:t>
                      </w:r>
                      <w:r w:rsidRPr="00022D34">
                        <w:rPr>
                          <w:b/>
                        </w:rPr>
                        <w:t xml:space="preserve">If you wanted to have an abortion you would need to hide it from your community for fear of being shunned. This is a huge burden on your mental health. While I didn’t have an </w:t>
                      </w:r>
                      <w:proofErr w:type="gramStart"/>
                      <w:r w:rsidRPr="00022D34">
                        <w:rPr>
                          <w:b/>
                        </w:rPr>
                        <w:t>abortion</w:t>
                      </w:r>
                      <w:proofErr w:type="gramEnd"/>
                      <w:r w:rsidRPr="00022D34">
                        <w:rPr>
                          <w:b/>
                        </w:rPr>
                        <w:t xml:space="preserve"> I was always prepared to, and this made me feel guilty throughout my child-bearing years. </w:t>
                      </w:r>
                    </w:p>
                    <w:p w14:paraId="26B8D808" w14:textId="1E6CE74B" w:rsidR="00D76477" w:rsidRPr="00022D34" w:rsidRDefault="00D76477" w:rsidP="001F59C6">
                      <w:pPr>
                        <w:rPr>
                          <w:b/>
                        </w:rPr>
                      </w:pPr>
                      <w:r w:rsidRPr="00022D34">
                        <w:rPr>
                          <w:b/>
                        </w:rPr>
                        <w:t xml:space="preserve">If you are a woman in a high control community like this, you have limited access to income, you </w:t>
                      </w:r>
                      <w:proofErr w:type="gramStart"/>
                      <w:r w:rsidRPr="00022D34">
                        <w:rPr>
                          <w:b/>
                        </w:rPr>
                        <w:t>don’t</w:t>
                      </w:r>
                      <w:proofErr w:type="gramEnd"/>
                      <w:r w:rsidRPr="00022D34">
                        <w:rPr>
                          <w:b/>
                        </w:rPr>
                        <w:t xml:space="preserve"> have a voice and you don’t have control over your body.  Trying to seek health support, particularly mental health support is difficult socially and economically.</w:t>
                      </w:r>
                      <w:r>
                        <w:rPr>
                          <w:b/>
                        </w:rPr>
                        <w:t>”</w:t>
                      </w:r>
                      <w:r w:rsidRPr="00022D34">
                        <w:rPr>
                          <w:b/>
                        </w:rPr>
                        <w:t xml:space="preserve"> </w:t>
                      </w:r>
                    </w:p>
                    <w:p w14:paraId="4E5A4C21" w14:textId="1CC4D351" w:rsidR="00D76477" w:rsidRDefault="00D76477" w:rsidP="001F59C6">
                      <w:r w:rsidRPr="00022D34">
                        <w:rPr>
                          <w:b/>
                        </w:rPr>
                        <w:t>Ella, Victoria</w:t>
                      </w:r>
                    </w:p>
                  </w:txbxContent>
                </v:textbox>
                <w10:wrap type="square" anchorx="margin"/>
              </v:shape>
            </w:pict>
          </mc:Fallback>
        </mc:AlternateContent>
      </w:r>
      <w:r w:rsidR="00581A5E">
        <w:t xml:space="preserve">When recalling her experience of life in a high control Jehovah’s Witness community, Ella also highlighted that women in particular not only experience </w:t>
      </w:r>
      <w:r w:rsidR="00452411">
        <w:t>r</w:t>
      </w:r>
      <w:r w:rsidR="00452411" w:rsidRPr="00A618BE">
        <w:t xml:space="preserve">eproductive </w:t>
      </w:r>
      <w:r w:rsidR="00452411">
        <w:t>c</w:t>
      </w:r>
      <w:r w:rsidR="00452411" w:rsidRPr="00A618BE">
        <w:t>oercion</w:t>
      </w:r>
      <w:r w:rsidR="00452411">
        <w:t xml:space="preserve"> </w:t>
      </w:r>
      <w:r w:rsidR="00581A5E">
        <w:t xml:space="preserve">driven by the culture of the community, there are also economic drivers that perpetuate and compound </w:t>
      </w:r>
      <w:r w:rsidR="00452411">
        <w:t>r</w:t>
      </w:r>
      <w:r w:rsidR="00452411" w:rsidRPr="00A618BE">
        <w:t xml:space="preserve">eproductive </w:t>
      </w:r>
      <w:r w:rsidR="00452411">
        <w:t>c</w:t>
      </w:r>
      <w:r w:rsidR="00452411" w:rsidRPr="00A618BE">
        <w:t>oercion</w:t>
      </w:r>
      <w:r w:rsidR="00581A5E">
        <w:rPr>
          <w:rStyle w:val="EndnoteReference"/>
        </w:rPr>
        <w:endnoteReference w:id="162"/>
      </w:r>
      <w:r w:rsidR="00581A5E">
        <w:t>. Ella outlined that decisions of when to start and end reproduction rests with the typically male provider as the woman is expected to be silent or “in subjection”.</w:t>
      </w:r>
      <w:r w:rsidR="00581A5E">
        <w:rPr>
          <w:rStyle w:val="EndnoteReference"/>
        </w:rPr>
        <w:endnoteReference w:id="163"/>
      </w:r>
      <w:r w:rsidR="00581A5E">
        <w:t xml:space="preserve"> Ella describes how lack of income,</w:t>
      </w:r>
      <w:r w:rsidR="00581A5E">
        <w:rPr>
          <w:rStyle w:val="EndnoteReference"/>
        </w:rPr>
        <w:endnoteReference w:id="164"/>
      </w:r>
      <w:r w:rsidR="00581A5E">
        <w:t xml:space="preserve"> coupled with lack of control over </w:t>
      </w:r>
      <w:r w:rsidR="00581A5E" w:rsidRPr="00EF2F15">
        <w:rPr>
          <w:color w:val="000000" w:themeColor="text1"/>
        </w:rPr>
        <w:t>one’s own body results in fear, obligation and guilt and increases reliance on the public health system. In her recovery, she needed psychological counselling, visits to specialist physiotherapists to relax her shallow breathing and to women’s hospitals for a vulvar disorder caused by hyper-contraction.</w:t>
      </w:r>
      <w:r w:rsidR="00581A5E" w:rsidRPr="00EF2F15">
        <w:rPr>
          <w:rStyle w:val="EndnoteReference"/>
          <w:color w:val="000000" w:themeColor="text1"/>
        </w:rPr>
        <w:endnoteReference w:id="165"/>
      </w:r>
      <w:r w:rsidR="00581A5E" w:rsidRPr="00EF2F15">
        <w:rPr>
          <w:color w:val="000000" w:themeColor="text1"/>
        </w:rPr>
        <w:t xml:space="preserve">  </w:t>
      </w:r>
    </w:p>
    <w:p w14:paraId="7E1A0ADA" w14:textId="21C4BBEF" w:rsidR="00581A5E" w:rsidRDefault="00581A5E" w:rsidP="00D0581F"/>
    <w:p w14:paraId="2D0D636D" w14:textId="77777777" w:rsidR="001F59C6" w:rsidRDefault="00581A5E" w:rsidP="00D0581F">
      <w:r w:rsidRPr="00A618BE">
        <w:t xml:space="preserve">Ella and Helen’s stories highlight the ability of cultural influences such as religion, particularly in closed </w:t>
      </w:r>
      <w:r>
        <w:t xml:space="preserve">or high control </w:t>
      </w:r>
      <w:r w:rsidRPr="00A618BE">
        <w:t xml:space="preserve">communities, to significantly influence autonomous decision-making about reproductive health. </w:t>
      </w:r>
    </w:p>
    <w:p w14:paraId="642997F3" w14:textId="77777777" w:rsidR="001F59C6" w:rsidRDefault="001F59C6" w:rsidP="00D0581F"/>
    <w:p w14:paraId="481F5869" w14:textId="75AC0ADC" w:rsidR="00581A5E" w:rsidRDefault="00581A5E" w:rsidP="00D0581F">
      <w:r w:rsidRPr="00A618BE">
        <w:lastRenderedPageBreak/>
        <w:t xml:space="preserve">Supporting people like Ella and Helen when they decide to </w:t>
      </w:r>
      <w:r>
        <w:t xml:space="preserve">leave any such </w:t>
      </w:r>
      <w:r w:rsidRPr="00A618BE">
        <w:t>community is important, particularly in relation to ensuring access to sexual and reproductive health and rights education that they may not have received previously</w:t>
      </w:r>
      <w:r>
        <w:t>.</w:t>
      </w:r>
      <w:r w:rsidRPr="00A618BE">
        <w:rPr>
          <w:rStyle w:val="EndnoteReference"/>
          <w:color w:val="000000"/>
        </w:rPr>
        <w:endnoteReference w:id="166"/>
      </w:r>
      <w:r w:rsidRPr="00A618BE">
        <w:t xml:space="preserve"> </w:t>
      </w:r>
    </w:p>
    <w:p w14:paraId="758FA0DD" w14:textId="7288D4A2" w:rsidR="00581A5E" w:rsidRPr="00A618BE" w:rsidRDefault="00581A5E" w:rsidP="00D0581F">
      <w:r w:rsidRPr="00A618BE">
        <w:t xml:space="preserve">Like the social drivers of RC, addressing cultural drivers of </w:t>
      </w:r>
      <w:r w:rsidR="00452411">
        <w:t>r</w:t>
      </w:r>
      <w:r w:rsidR="00452411" w:rsidRPr="00A618BE">
        <w:t xml:space="preserve">eproductive </w:t>
      </w:r>
      <w:r w:rsidR="00452411">
        <w:t>c</w:t>
      </w:r>
      <w:r w:rsidR="00452411" w:rsidRPr="00A618BE">
        <w:t>oercion</w:t>
      </w:r>
      <w:r w:rsidR="00452411">
        <w:t xml:space="preserve"> </w:t>
      </w:r>
      <w:r w:rsidRPr="00A618BE">
        <w:t xml:space="preserve">requires education linked to a whole-of-community response to </w:t>
      </w:r>
      <w:r w:rsidR="00452411">
        <w:t>r</w:t>
      </w:r>
      <w:r w:rsidR="00452411" w:rsidRPr="00A618BE">
        <w:t xml:space="preserve">eproductive </w:t>
      </w:r>
      <w:r w:rsidR="00452411">
        <w:t>c</w:t>
      </w:r>
      <w:r w:rsidR="00452411" w:rsidRPr="00A618BE">
        <w:t>oercion</w:t>
      </w:r>
      <w:r w:rsidRPr="00A618BE">
        <w:t xml:space="preserve">. These are </w:t>
      </w:r>
      <w:proofErr w:type="gramStart"/>
      <w:r w:rsidRPr="00A618BE">
        <w:t>similar to</w:t>
      </w:r>
      <w:proofErr w:type="gramEnd"/>
      <w:r w:rsidRPr="00A618BE">
        <w:t xml:space="preserve"> responses that underpin prevention efforts for FV, IPV and SV</w:t>
      </w:r>
      <w:r>
        <w:t>.</w:t>
      </w:r>
      <w:r w:rsidRPr="00A618BE">
        <w:rPr>
          <w:rStyle w:val="EndnoteReference"/>
          <w:color w:val="000000"/>
        </w:rPr>
        <w:endnoteReference w:id="167"/>
      </w:r>
      <w:r w:rsidRPr="00A618BE">
        <w:t xml:space="preserve"> </w:t>
      </w:r>
    </w:p>
    <w:p w14:paraId="221B2DA1" w14:textId="1CD15886" w:rsidR="00581A5E" w:rsidRDefault="00581A5E" w:rsidP="00D0581F">
      <w:r>
        <w:t xml:space="preserve">Religion </w:t>
      </w:r>
      <w:r w:rsidRPr="00A618BE">
        <w:t xml:space="preserve">also plays a critical role in addressing structural drivers of </w:t>
      </w:r>
      <w:r w:rsidR="00452411">
        <w:t>r</w:t>
      </w:r>
      <w:r w:rsidR="00452411" w:rsidRPr="00A618BE">
        <w:t xml:space="preserve">eproductive </w:t>
      </w:r>
      <w:r w:rsidR="00452411">
        <w:t>c</w:t>
      </w:r>
      <w:r w:rsidR="00452411" w:rsidRPr="00A618BE">
        <w:t>oercion</w:t>
      </w:r>
      <w:r w:rsidRPr="00A618BE">
        <w:t>. While religious institutions are often perceived as barriers to reproductive autonomy</w:t>
      </w:r>
      <w:r>
        <w:t>,</w:t>
      </w:r>
      <w:r w:rsidRPr="00A618BE">
        <w:rPr>
          <w:rStyle w:val="EndnoteReference"/>
          <w:color w:val="000000"/>
        </w:rPr>
        <w:endnoteReference w:id="168"/>
      </w:r>
      <w:r w:rsidRPr="00A618BE">
        <w:t xml:space="preserve"> a number of religious organisations champion reproductive justice and access to contraception and abortion.</w:t>
      </w:r>
      <w:r w:rsidRPr="00A618BE">
        <w:rPr>
          <w:rStyle w:val="EndnoteReference"/>
          <w:color w:val="000000"/>
        </w:rPr>
        <w:endnoteReference w:id="169"/>
      </w:r>
      <w:r w:rsidRPr="00A618BE">
        <w:t xml:space="preserve"> Where available, engaging faith-based organisations that encourage autonomous reproductive health decision-making will also be an important part of preventing and responding to </w:t>
      </w:r>
      <w:r w:rsidR="00452411">
        <w:t>r</w:t>
      </w:r>
      <w:r w:rsidR="00452411" w:rsidRPr="00A618BE">
        <w:t xml:space="preserve">eproductive </w:t>
      </w:r>
      <w:r w:rsidR="00452411">
        <w:t>c</w:t>
      </w:r>
      <w:r w:rsidR="00452411" w:rsidRPr="00A618BE">
        <w:t>oercion</w:t>
      </w:r>
      <w:r>
        <w:t>.</w:t>
      </w:r>
      <w:r w:rsidRPr="00A618BE">
        <w:rPr>
          <w:rStyle w:val="EndnoteReference"/>
          <w:color w:val="000000"/>
        </w:rPr>
        <w:endnoteReference w:id="170"/>
      </w:r>
    </w:p>
    <w:p w14:paraId="07B25055" w14:textId="73A60B03" w:rsidR="00581A5E" w:rsidRDefault="001F59C6" w:rsidP="00D0581F">
      <w:r>
        <w:rPr>
          <w:noProof/>
          <w:lang w:eastAsia="en-AU"/>
        </w:rPr>
        <mc:AlternateContent>
          <mc:Choice Requires="wps">
            <w:drawing>
              <wp:anchor distT="45720" distB="45720" distL="114300" distR="114300" simplePos="0" relativeHeight="251698176" behindDoc="0" locked="0" layoutInCell="1" allowOverlap="1" wp14:anchorId="59E9DD1F" wp14:editId="14D647CC">
                <wp:simplePos x="0" y="0"/>
                <wp:positionH relativeFrom="margin">
                  <wp:align>left</wp:align>
                </wp:positionH>
                <wp:positionV relativeFrom="paragraph">
                  <wp:posOffset>1268095</wp:posOffset>
                </wp:positionV>
                <wp:extent cx="582930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9BAF91"/>
                        </a:solidFill>
                        <a:ln w="9525">
                          <a:noFill/>
                          <a:miter lim="800000"/>
                          <a:headEnd/>
                          <a:tailEnd/>
                        </a:ln>
                      </wps:spPr>
                      <wps:txbx>
                        <w:txbxContent>
                          <w:p w14:paraId="003E4832" w14:textId="23EAB74C" w:rsidR="00D76477" w:rsidRPr="00022D34" w:rsidRDefault="00D76477" w:rsidP="001F59C6">
                            <w:pPr>
                              <w:rPr>
                                <w:b/>
                              </w:rPr>
                            </w:pPr>
                            <w:r>
                              <w:rPr>
                                <w:b/>
                              </w:rPr>
                              <w:t>“</w:t>
                            </w:r>
                            <w:r w:rsidRPr="00022D34">
                              <w:rPr>
                                <w:b/>
                              </w:rPr>
                              <w:t>Engagement with an equal balance of males and females would have to be legislated for the Jehovah’s Witnesses to participate as they would consider this as diluting their leadership. Without legislating their involvement, the leaders would simply ignore invitations to participate in a discourse. We saw this during the Royal Commission into Institutional Response to Child Sexual Abuse.</w:t>
                            </w:r>
                            <w:r>
                              <w:rPr>
                                <w:b/>
                              </w:rPr>
                              <w:t>”</w:t>
                            </w:r>
                            <w:r w:rsidRPr="00022D34">
                              <w:rPr>
                                <w:rStyle w:val="EndnoteReference"/>
                                <w:b/>
                              </w:rPr>
                              <w:footnoteRef/>
                            </w:r>
                            <w:r w:rsidRPr="00022D34">
                              <w:rPr>
                                <w:b/>
                              </w:rPr>
                              <w:t xml:space="preserve"> </w:t>
                            </w:r>
                          </w:p>
                          <w:p w14:paraId="6BAC8B28" w14:textId="3FA776D1" w:rsidR="00D76477" w:rsidRDefault="00D76477" w:rsidP="001F59C6">
                            <w:r w:rsidRPr="00022D34">
                              <w:rPr>
                                <w:b/>
                              </w:rPr>
                              <w:t>Ella, Victoria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9DD1F" id="_x0000_s1036" type="#_x0000_t202" style="position:absolute;margin-left:0;margin-top:99.85pt;width:459pt;height:110.6pt;z-index:251698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" fillcolor="#9baf91" stroked="f">
                <v:textbox style="mso-fit-shape-to-text:t">
                  <w:txbxContent>
                    <w:p w14:paraId="003E4832" w14:textId="23EAB74C" w:rsidR="00D76477" w:rsidRPr="00022D34" w:rsidRDefault="00D76477" w:rsidP="001F59C6">
                      <w:pPr>
                        <w:rPr>
                          <w:b/>
                        </w:rPr>
                      </w:pPr>
                      <w:r>
                        <w:rPr>
                          <w:b/>
                        </w:rPr>
                        <w:t>“</w:t>
                      </w:r>
                      <w:r w:rsidRPr="00022D34">
                        <w:rPr>
                          <w:b/>
                        </w:rPr>
                        <w:t>Engagement with an equal balance of males and females would have to be legislated for the Jehovah’s Witnesses to participate as they would consider this as diluting their leadership. Without legislating their involvement, the leaders would simply ignore invitations to participate in a discourse. We saw this during the Royal Commission into Institutional Response to Child Sexual Abuse.</w:t>
                      </w:r>
                      <w:r>
                        <w:rPr>
                          <w:b/>
                        </w:rPr>
                        <w:t>”</w:t>
                      </w:r>
                      <w:r w:rsidRPr="00022D34">
                        <w:rPr>
                          <w:rStyle w:val="EndnoteReference"/>
                          <w:b/>
                        </w:rPr>
                        <w:footnoteRef/>
                      </w:r>
                      <w:r w:rsidRPr="00022D34">
                        <w:rPr>
                          <w:b/>
                        </w:rPr>
                        <w:t xml:space="preserve"> </w:t>
                      </w:r>
                    </w:p>
                    <w:p w14:paraId="6BAC8B28" w14:textId="3FA776D1" w:rsidR="00D76477" w:rsidRDefault="00D76477" w:rsidP="001F59C6">
                      <w:r w:rsidRPr="00022D34">
                        <w:rPr>
                          <w:b/>
                        </w:rPr>
                        <w:t>Ella, Victoria</w:t>
                      </w:r>
                    </w:p>
                  </w:txbxContent>
                </v:textbox>
                <w10:wrap type="square" anchorx="margin"/>
              </v:shape>
            </w:pict>
          </mc:Fallback>
        </mc:AlternateContent>
      </w:r>
      <w:r w:rsidR="00581A5E" w:rsidRPr="00A618BE">
        <w:t>When addressing cultural drivers that are specific to religion, engaging community religious leader</w:t>
      </w:r>
      <w:r w:rsidR="00581A5E">
        <w:t>s in these efforts is essential. However</w:t>
      </w:r>
      <w:r>
        <w:t>,</w:t>
      </w:r>
      <w:r w:rsidR="00581A5E">
        <w:t xml:space="preserve"> it is not without its challenges. When asked about engaging religious leaders from her former community, Ella highlighted that all leaders from her community were male and to attempt to engage them was futile. </w:t>
      </w:r>
    </w:p>
    <w:p w14:paraId="61176A82" w14:textId="45B96009" w:rsidR="001F59C6" w:rsidRDefault="001F59C6" w:rsidP="00D0581F"/>
    <w:p w14:paraId="13CF7B85" w14:textId="24225AFC" w:rsidR="00581A5E" w:rsidRPr="00BE4A29" w:rsidRDefault="00581A5E" w:rsidP="00D0581F">
      <w:pPr>
        <w:rPr>
          <w:b/>
        </w:rPr>
      </w:pPr>
      <w:bookmarkStart w:id="130" w:name="_Toc530573376"/>
      <w:r w:rsidRPr="00BE4A29">
        <w:rPr>
          <w:b/>
        </w:rPr>
        <w:t xml:space="preserve">Economic </w:t>
      </w:r>
      <w:r w:rsidR="00031CAA">
        <w:rPr>
          <w:b/>
        </w:rPr>
        <w:t>d</w:t>
      </w:r>
      <w:r w:rsidRPr="00BE4A29">
        <w:rPr>
          <w:b/>
        </w:rPr>
        <w:t>rivers</w:t>
      </w:r>
      <w:bookmarkEnd w:id="130"/>
    </w:p>
    <w:p w14:paraId="19C25584" w14:textId="2CD30FBE" w:rsidR="00581A5E" w:rsidRPr="00A618BE" w:rsidRDefault="00581A5E" w:rsidP="00D0581F">
      <w:r w:rsidRPr="00A618BE">
        <w:t xml:space="preserve">While there is little data about the economic drivers of </w:t>
      </w:r>
      <w:r w:rsidR="00452411">
        <w:t>r</w:t>
      </w:r>
      <w:r w:rsidR="00452411" w:rsidRPr="00A618BE">
        <w:t xml:space="preserve">eproductive </w:t>
      </w:r>
      <w:r w:rsidR="00452411">
        <w:t>c</w:t>
      </w:r>
      <w:r w:rsidR="00452411" w:rsidRPr="00A618BE">
        <w:t>oercion</w:t>
      </w:r>
      <w:r w:rsidR="00452411">
        <w:t xml:space="preserve"> </w:t>
      </w:r>
      <w:r w:rsidRPr="00A618BE">
        <w:t>specifically, there is a strong body of research that correlates reduction in violence against women to gender pay parity.</w:t>
      </w:r>
      <w:r w:rsidRPr="00A618BE">
        <w:rPr>
          <w:rStyle w:val="EndnoteReference"/>
          <w:color w:val="000000"/>
        </w:rPr>
        <w:endnoteReference w:id="171"/>
      </w:r>
      <w:r w:rsidR="00452411">
        <w:t xml:space="preserve"> </w:t>
      </w:r>
      <w:r w:rsidRPr="00A618BE">
        <w:rPr>
          <w:rStyle w:val="EndnoteReference"/>
          <w:color w:val="000000"/>
        </w:rPr>
        <w:endnoteReference w:id="172"/>
      </w:r>
      <w:r w:rsidRPr="00A618BE">
        <w:t xml:space="preserve"> The evidence shows that not only does a decrease in the gender pay gap reduce violence against women, addressing the gender pay gap also improves health and wellbeing</w:t>
      </w:r>
      <w:r>
        <w:t xml:space="preserve"> of those experiencing violence, the broader family unit and the community.</w:t>
      </w:r>
      <w:r w:rsidRPr="00A618BE">
        <w:rPr>
          <w:rStyle w:val="EndnoteReference"/>
          <w:color w:val="000000"/>
        </w:rPr>
        <w:endnoteReference w:id="173"/>
      </w:r>
      <w:r w:rsidRPr="00A618BE">
        <w:t xml:space="preserve">  </w:t>
      </w:r>
    </w:p>
    <w:p w14:paraId="5E491C64" w14:textId="77777777" w:rsidR="00031CAA" w:rsidRDefault="00581A5E" w:rsidP="00D0581F">
      <w:r w:rsidRPr="00A618BE">
        <w:t xml:space="preserve">The tax system can also be an economic driver of IPV, FV and </w:t>
      </w:r>
      <w:r w:rsidR="00452411">
        <w:t>r</w:t>
      </w:r>
      <w:r w:rsidR="00452411" w:rsidRPr="00A618BE">
        <w:t xml:space="preserve">eproductive </w:t>
      </w:r>
      <w:r w:rsidR="00452411">
        <w:t>c</w:t>
      </w:r>
      <w:r w:rsidR="00452411" w:rsidRPr="00A618BE">
        <w:t>oercion</w:t>
      </w:r>
      <w:r w:rsidR="00452411">
        <w:t xml:space="preserve"> </w:t>
      </w:r>
      <w:r w:rsidRPr="00A618BE">
        <w:t xml:space="preserve">as it can be used as a means of power and </w:t>
      </w:r>
      <w:r>
        <w:t>control. While the tax system is</w:t>
      </w:r>
      <w:r w:rsidRPr="00A618BE">
        <w:t xml:space="preserve"> mostly used as a means of interpersonal </w:t>
      </w:r>
      <w:r w:rsidR="00452411">
        <w:t>r</w:t>
      </w:r>
      <w:r w:rsidR="00452411" w:rsidRPr="00A618BE">
        <w:t xml:space="preserve">eproductive </w:t>
      </w:r>
      <w:r w:rsidR="00452411">
        <w:t>c</w:t>
      </w:r>
      <w:r w:rsidR="00452411" w:rsidRPr="00A618BE">
        <w:t>oercion</w:t>
      </w:r>
      <w:r>
        <w:t>,</w:t>
      </w:r>
      <w:r w:rsidRPr="00A618BE">
        <w:rPr>
          <w:rStyle w:val="EndnoteReference"/>
          <w:color w:val="000000"/>
        </w:rPr>
        <w:endnoteReference w:id="174"/>
      </w:r>
      <w:r w:rsidRPr="00A618BE">
        <w:t xml:space="preserve"> it can also exert power and control from a structural perspective.  In April 2017, the British Government introduced what has become known as the “rape clause”</w:t>
      </w:r>
      <w:r>
        <w:t>.</w:t>
      </w:r>
      <w:r w:rsidRPr="00A618BE">
        <w:rPr>
          <w:rStyle w:val="EndnoteReference"/>
          <w:color w:val="000000"/>
        </w:rPr>
        <w:endnoteReference w:id="175"/>
      </w:r>
      <w:r w:rsidRPr="00A618BE">
        <w:t xml:space="preserve"> </w:t>
      </w:r>
    </w:p>
    <w:p w14:paraId="4F576545" w14:textId="55093BD4" w:rsidR="00581A5E" w:rsidRDefault="00581A5E" w:rsidP="00D0581F">
      <w:r w:rsidRPr="00A618BE">
        <w:lastRenderedPageBreak/>
        <w:t>This tax credit reform states that a mother in the UK is unable to claim tax credits for any child following the first two unless they can demonstrate that conception was a result of “a sexual act which [they] didn’t or couldn’t consent to” or that the mother was at the time of conception “in an abusive relationship, undergoing control or coercion by the other parent of the child”.</w:t>
      </w:r>
      <w:r w:rsidRPr="00A618BE">
        <w:rPr>
          <w:rStyle w:val="EndnoteReference"/>
          <w:color w:val="000000"/>
        </w:rPr>
        <w:endnoteReference w:id="176"/>
      </w:r>
      <w:r w:rsidRPr="00A618BE">
        <w:t xml:space="preserve"> Further, the exemption does not apply if the mother is living with the other parent of the child, regardless of whether coercion and abuse are continuing</w:t>
      </w:r>
      <w:r>
        <w:t>.</w:t>
      </w:r>
      <w:r w:rsidRPr="00A618BE">
        <w:rPr>
          <w:rStyle w:val="EndnoteReference"/>
          <w:color w:val="000000"/>
        </w:rPr>
        <w:endnoteReference w:id="177"/>
      </w:r>
      <w:r w:rsidRPr="00A618BE">
        <w:t xml:space="preserve"> In response to this reform, the Child Poverty Action Group’s solicitor, Carla Clark, argued that the policy “places women, in particular, in the invidious position of deciding whether to continue with an unplanned pregnancy or to have an abortion”</w:t>
      </w:r>
      <w:r>
        <w:t>.</w:t>
      </w:r>
      <w:r w:rsidRPr="00A618BE">
        <w:rPr>
          <w:rStyle w:val="EndnoteReference"/>
          <w:color w:val="000000"/>
        </w:rPr>
        <w:endnoteReference w:id="178"/>
      </w:r>
    </w:p>
    <w:p w14:paraId="66D4EA5F" w14:textId="77777777" w:rsidR="00581A5E" w:rsidRDefault="00581A5E" w:rsidP="00D0581F">
      <w:r>
        <w:t xml:space="preserve">While the “rape clause” is an obvious form of the tax system exhibiting structural coercion, there are other, less obvious forms of structural coercion linked to tax systems. </w:t>
      </w:r>
      <w:r w:rsidRPr="00A618BE">
        <w:t>Many tax systems across the world exhibit gender bias</w:t>
      </w:r>
      <w:r>
        <w:t>.</w:t>
      </w:r>
      <w:r w:rsidRPr="00A618BE">
        <w:rPr>
          <w:rStyle w:val="EndnoteReference"/>
          <w:color w:val="000000"/>
        </w:rPr>
        <w:endnoteReference w:id="179"/>
      </w:r>
      <w:r>
        <w:t xml:space="preserve"> In Australia, the federal o</w:t>
      </w:r>
      <w:r w:rsidRPr="00A618BE">
        <w:t>pposition recently claimed that the Australian Government’s 2018 tax cuts would be twice as beneficial to men as they are to women</w:t>
      </w:r>
      <w:r>
        <w:t>.</w:t>
      </w:r>
      <w:r w:rsidRPr="00A618BE">
        <w:rPr>
          <w:rStyle w:val="EndnoteReference"/>
          <w:color w:val="000000"/>
        </w:rPr>
        <w:endnoteReference w:id="180"/>
      </w:r>
      <w:r>
        <w:t xml:space="preserve"> </w:t>
      </w:r>
    </w:p>
    <w:p w14:paraId="11302458" w14:textId="77777777" w:rsidR="00581A5E" w:rsidRPr="00A618BE" w:rsidRDefault="00581A5E" w:rsidP="00D0581F">
      <w:r w:rsidRPr="00A618BE">
        <w:t>The idea of gender bias in taxation is not new and has been the subject of much recent debate amongst economists globally</w:t>
      </w:r>
      <w:r>
        <w:t>.</w:t>
      </w:r>
      <w:r w:rsidRPr="00A618BE">
        <w:rPr>
          <w:rStyle w:val="EndnoteReference"/>
          <w:color w:val="000000"/>
        </w:rPr>
        <w:endnoteReference w:id="181"/>
      </w:r>
      <w:r w:rsidRPr="00A618BE">
        <w:t xml:space="preserve"> In Australia, however, this issue has not gained much public attention. However, given that an association between higher rates of violence, particularly IPV, and inequality in the distribution of economic resources between men and women, and given current public debates around pay parity in Australia,</w:t>
      </w:r>
      <w:r w:rsidRPr="00A618BE">
        <w:rPr>
          <w:rStyle w:val="EndnoteReference"/>
          <w:color w:val="000000"/>
        </w:rPr>
        <w:endnoteReference w:id="182"/>
      </w:r>
      <w:r w:rsidRPr="00A618BE">
        <w:t xml:space="preserve"> reviewing current wages and taxation for gender bias makes sense from a violence reduction and public health perspective.</w:t>
      </w:r>
    </w:p>
    <w:p w14:paraId="7EEEF1AC" w14:textId="354EF13A" w:rsidR="00581A5E" w:rsidRPr="00BE4A29" w:rsidRDefault="00581A5E" w:rsidP="00D0581F">
      <w:pPr>
        <w:rPr>
          <w:b/>
        </w:rPr>
      </w:pPr>
      <w:bookmarkStart w:id="131" w:name="_Toc530573377"/>
      <w:r w:rsidRPr="00BE4A29">
        <w:rPr>
          <w:b/>
        </w:rPr>
        <w:t xml:space="preserve">Policy and </w:t>
      </w:r>
      <w:r w:rsidR="00031CAA">
        <w:rPr>
          <w:b/>
        </w:rPr>
        <w:t>l</w:t>
      </w:r>
      <w:r w:rsidRPr="00BE4A29">
        <w:rPr>
          <w:b/>
        </w:rPr>
        <w:t xml:space="preserve">egislative </w:t>
      </w:r>
      <w:r w:rsidR="00031CAA">
        <w:rPr>
          <w:b/>
        </w:rPr>
        <w:t>d</w:t>
      </w:r>
      <w:r w:rsidRPr="00BE4A29">
        <w:rPr>
          <w:b/>
        </w:rPr>
        <w:t>rivers</w:t>
      </w:r>
      <w:bookmarkEnd w:id="131"/>
    </w:p>
    <w:p w14:paraId="2FBA4C0C" w14:textId="3AC466E0" w:rsidR="00581A5E" w:rsidRPr="00A618BE" w:rsidRDefault="00581A5E" w:rsidP="00D0581F">
      <w:r w:rsidRPr="00A618BE">
        <w:t>Policy and legislation play a critical role in reproductive health</w:t>
      </w:r>
      <w:r>
        <w:t>.</w:t>
      </w:r>
      <w:r w:rsidRPr="00A618BE">
        <w:rPr>
          <w:rStyle w:val="EndnoteReference"/>
          <w:color w:val="000000"/>
        </w:rPr>
        <w:endnoteReference w:id="183"/>
      </w:r>
      <w:r w:rsidRPr="00A618BE">
        <w:t xml:space="preserve">  Some policy and legislation may inadvertently interfere with a person’s ability to make autonomous reproductive health </w:t>
      </w:r>
      <w:r>
        <w:t>decisions. F</w:t>
      </w:r>
      <w:r w:rsidRPr="00A618BE">
        <w:t>or example</w:t>
      </w:r>
      <w:r w:rsidR="00031CAA">
        <w:t>,</w:t>
      </w:r>
      <w:r w:rsidRPr="00A618BE">
        <w:t xml:space="preserve"> a policy that results in the closure of a public maternal health unit may have the aim of saving public </w:t>
      </w:r>
      <w:r w:rsidR="00031CAA" w:rsidRPr="00A618BE">
        <w:t>money but</w:t>
      </w:r>
      <w:r w:rsidRPr="00A618BE">
        <w:t xml:space="preserve"> may also limit the pregnancy care options for local people.  Equally, policies and laws can be designed for the purpose of interfering with individual decision-making about reproductive health, for example laws that criminalise abortion. </w:t>
      </w:r>
    </w:p>
    <w:p w14:paraId="190425E1" w14:textId="77777777" w:rsidR="00581A5E" w:rsidRDefault="00581A5E" w:rsidP="00D0581F">
      <w:r w:rsidRPr="00A618BE">
        <w:t>The impact of policy and legislation on autonomous decision-making about reproductive health can best be demonstrated by the current state of sexual and reproductive healthcare planning in Australia.  Australia is a complex environment when it comes to health policy and service provision as these activities are predominantly managed through a network of different state and territory jurisdictions</w:t>
      </w:r>
      <w:r>
        <w:t>.</w:t>
      </w:r>
      <w:r w:rsidRPr="00A618BE">
        <w:rPr>
          <w:rStyle w:val="EndnoteReference"/>
          <w:color w:val="000000"/>
        </w:rPr>
        <w:endnoteReference w:id="184"/>
      </w:r>
      <w:r w:rsidRPr="00A618BE">
        <w:t xml:space="preserve"> </w:t>
      </w:r>
    </w:p>
    <w:p w14:paraId="4F2DE115" w14:textId="50959E8E" w:rsidR="00031CAA" w:rsidRDefault="00581A5E" w:rsidP="00D0581F">
      <w:r w:rsidRPr="00A618BE">
        <w:t>There is currently no nation-wide, overarching sexual and reproductive health strategy, contributing to significant inequities in access to services between health jurisdictions. Further, there is a lack of intersection between sexual and reproductive health services and other health services</w:t>
      </w:r>
      <w:r>
        <w:t xml:space="preserve"> which inhibits continuity of care.</w:t>
      </w:r>
      <w:r w:rsidRPr="00A618BE">
        <w:rPr>
          <w:rStyle w:val="EndnoteReference"/>
          <w:color w:val="000000"/>
        </w:rPr>
        <w:endnoteReference w:id="185"/>
      </w:r>
      <w:r w:rsidRPr="00A618BE">
        <w:t xml:space="preserve"> </w:t>
      </w:r>
    </w:p>
    <w:p w14:paraId="16F07E36" w14:textId="77777777" w:rsidR="00031CAA" w:rsidRDefault="00031CAA">
      <w:pPr>
        <w:spacing w:after="160" w:line="259" w:lineRule="auto"/>
      </w:pPr>
      <w:r>
        <w:br w:type="page"/>
      </w:r>
    </w:p>
    <w:p w14:paraId="2E20D33F" w14:textId="77777777" w:rsidR="00581A5E" w:rsidRDefault="00581A5E" w:rsidP="00D0581F">
      <w:r w:rsidRPr="00A618BE">
        <w:lastRenderedPageBreak/>
        <w:t>Given that access to sexual and reproductive health services plays a significant role in reproductive autonomy and overall health and wellbeing, it is important that people have access to appropriate services no matter where they live or their circumstances without judgement or discrimination</w:t>
      </w:r>
      <w:r>
        <w:t>.</w:t>
      </w:r>
      <w:r w:rsidRPr="00A618BE">
        <w:rPr>
          <w:rStyle w:val="EndnoteReference"/>
          <w:color w:val="000000"/>
        </w:rPr>
        <w:endnoteReference w:id="186"/>
      </w:r>
      <w:r w:rsidRPr="00A618BE">
        <w:t xml:space="preserve"> However some sexual and reproductive health services, such as abortion care, attract considerable political debate and controversy which, in turn, can limit access. </w:t>
      </w:r>
    </w:p>
    <w:p w14:paraId="3C54F1F3" w14:textId="2326A22E" w:rsidR="00581A5E" w:rsidRDefault="00581A5E" w:rsidP="00D0581F">
      <w:r>
        <w:t xml:space="preserve">In late 2017, the last affordable surgical abortion clinic in Tasmania closed. The closure left Tasmanian women with little to no access to surgical abortions other than travelling to the mainland. The closure and subsequent lack of access has significantly impacted the reproductive decision-making of many Tasmanian women. </w:t>
      </w:r>
    </w:p>
    <w:p w14:paraId="1C2879E8" w14:textId="77777777" w:rsidR="00031CAA" w:rsidRPr="00A618BE" w:rsidRDefault="00031CAA" w:rsidP="00D0581F"/>
    <w:tbl>
      <w:tblPr>
        <w:tblStyle w:val="LightList"/>
        <w:tblW w:w="0" w:type="auto"/>
        <w:tblBorders>
          <w:top w:val="none" w:sz="0" w:space="0" w:color="auto"/>
          <w:left w:val="none" w:sz="0" w:space="0" w:color="auto"/>
          <w:bottom w:val="none" w:sz="0" w:space="0" w:color="auto"/>
          <w:right w:val="none" w:sz="0" w:space="0" w:color="auto"/>
        </w:tblBorders>
        <w:shd w:val="clear" w:color="auto" w:fill="9BAF91"/>
        <w:tblLook w:val="04A0" w:firstRow="1" w:lastRow="0" w:firstColumn="1" w:lastColumn="0" w:noHBand="0" w:noVBand="1"/>
      </w:tblPr>
      <w:tblGrid>
        <w:gridCol w:w="9070"/>
      </w:tblGrid>
      <w:tr w:rsidR="007901DB" w:rsidRPr="007901DB" w14:paraId="7C83A52F" w14:textId="77777777" w:rsidTr="00031C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1" w:type="dxa"/>
            <w:shd w:val="clear" w:color="auto" w:fill="9BAF91"/>
          </w:tcPr>
          <w:p w14:paraId="21D2DDDB" w14:textId="36675787" w:rsidR="00581A5E" w:rsidRPr="007901DB" w:rsidRDefault="00581A5E" w:rsidP="00D0581F">
            <w:pPr>
              <w:rPr>
                <w:color w:val="auto"/>
                <w:lang w:eastAsia="en-AU"/>
              </w:rPr>
            </w:pPr>
            <w:r w:rsidRPr="007901DB">
              <w:rPr>
                <w:color w:val="auto"/>
                <w:lang w:eastAsia="en-AU"/>
              </w:rPr>
              <w:t xml:space="preserve">Angela’s </w:t>
            </w:r>
            <w:r w:rsidR="00031CAA">
              <w:rPr>
                <w:color w:val="auto"/>
                <w:lang w:eastAsia="en-AU"/>
              </w:rPr>
              <w:t>s</w:t>
            </w:r>
            <w:r w:rsidRPr="007901DB">
              <w:rPr>
                <w:color w:val="auto"/>
                <w:lang w:eastAsia="en-AU"/>
              </w:rPr>
              <w:t>tory</w:t>
            </w:r>
          </w:p>
          <w:p w14:paraId="3195E796" w14:textId="04D49693" w:rsidR="00581A5E" w:rsidRPr="007901DB" w:rsidRDefault="00031CAA" w:rsidP="00D0581F">
            <w:pPr>
              <w:rPr>
                <w:color w:val="auto"/>
                <w:lang w:eastAsia="en-AU"/>
              </w:rPr>
            </w:pPr>
            <w:r>
              <w:rPr>
                <w:color w:val="auto"/>
                <w:lang w:eastAsia="en-AU"/>
              </w:rPr>
              <w:t>“</w:t>
            </w:r>
            <w:r w:rsidR="00581A5E" w:rsidRPr="007901DB">
              <w:rPr>
                <w:color w:val="auto"/>
                <w:lang w:eastAsia="en-AU"/>
              </w:rPr>
              <w:t>I believe that the lack of action from the Tasmanian Government in late 2017 -2018 regarding access to affordable and safe surgical terminations in Tasmania heavily influenced a personal reproductive decision, and in particular executing that decision, where I hit multiple barriers (costs, access, mental health etc) and ultimately couldn’t access the service in Tasmania.</w:t>
            </w:r>
          </w:p>
          <w:p w14:paraId="5EE234D7" w14:textId="77777777" w:rsidR="00581A5E" w:rsidRPr="007901DB" w:rsidRDefault="00581A5E" w:rsidP="00D0581F">
            <w:pPr>
              <w:rPr>
                <w:color w:val="auto"/>
                <w:lang w:eastAsia="en-AU"/>
              </w:rPr>
            </w:pPr>
            <w:r w:rsidRPr="007901DB">
              <w:rPr>
                <w:color w:val="auto"/>
                <w:lang w:eastAsia="en-AU"/>
              </w:rPr>
              <w:t xml:space="preserve">Making the decision should have been the hardest part of this, not navigating a pathway full of barriers, heavily politicised, let alone having to leave the state to ultimately access the service. </w:t>
            </w:r>
          </w:p>
          <w:p w14:paraId="271203A9" w14:textId="77777777" w:rsidR="00581A5E" w:rsidRPr="007901DB" w:rsidRDefault="00581A5E" w:rsidP="00D0581F">
            <w:pPr>
              <w:rPr>
                <w:color w:val="auto"/>
                <w:lang w:eastAsia="en-AU"/>
              </w:rPr>
            </w:pPr>
            <w:r w:rsidRPr="007901DB">
              <w:rPr>
                <w:color w:val="auto"/>
                <w:lang w:eastAsia="en-AU"/>
              </w:rPr>
              <w:t>While health professionals wanted to help me, they weren’t able to due to lack of information, the policy environment as it stood at that time, the fact the government was in caretaker, the absence of a Chinese wall between the health service and the political sphere.</w:t>
            </w:r>
          </w:p>
          <w:p w14:paraId="79231EEB" w14:textId="77777777" w:rsidR="00581A5E" w:rsidRPr="007901DB" w:rsidRDefault="00581A5E" w:rsidP="00D0581F">
            <w:pPr>
              <w:rPr>
                <w:color w:val="auto"/>
                <w:lang w:eastAsia="en-AU"/>
              </w:rPr>
            </w:pPr>
            <w:r w:rsidRPr="007901DB">
              <w:rPr>
                <w:color w:val="auto"/>
                <w:lang w:eastAsia="en-AU"/>
              </w:rPr>
              <w:t xml:space="preserve">I felt I had to re-make that decision at every stage of the process – including to the 6 different health professionals I spoke to as I went through the pathway. </w:t>
            </w:r>
          </w:p>
          <w:p w14:paraId="536603DF" w14:textId="77777777" w:rsidR="00581A5E" w:rsidRPr="007901DB" w:rsidRDefault="00581A5E" w:rsidP="00D0581F">
            <w:pPr>
              <w:rPr>
                <w:color w:val="auto"/>
                <w:lang w:eastAsia="en-AU"/>
              </w:rPr>
            </w:pPr>
            <w:r w:rsidRPr="007901DB">
              <w:rPr>
                <w:color w:val="auto"/>
                <w:lang w:eastAsia="en-AU"/>
              </w:rPr>
              <w:t xml:space="preserve">The Tasmanian legislation </w:t>
            </w:r>
            <w:proofErr w:type="gramStart"/>
            <w:r w:rsidRPr="007901DB">
              <w:rPr>
                <w:color w:val="auto"/>
                <w:lang w:eastAsia="en-AU"/>
              </w:rPr>
              <w:t>doesn’t</w:t>
            </w:r>
            <w:proofErr w:type="gramEnd"/>
            <w:r w:rsidRPr="007901DB">
              <w:rPr>
                <w:color w:val="auto"/>
                <w:lang w:eastAsia="en-AU"/>
              </w:rPr>
              <w:t xml:space="preserve"> require a doctor’s referral to get a surgical termination, yet the policy and public lines from the government spokesperson during this time told us we needed to. This adds another barrier and cost.</w:t>
            </w:r>
          </w:p>
          <w:p w14:paraId="0BAF6E70" w14:textId="77777777" w:rsidR="00581A5E" w:rsidRPr="007901DB" w:rsidRDefault="00581A5E" w:rsidP="00D0581F">
            <w:pPr>
              <w:rPr>
                <w:color w:val="auto"/>
                <w:lang w:eastAsia="en-AU"/>
              </w:rPr>
            </w:pPr>
            <w:r w:rsidRPr="007901DB">
              <w:rPr>
                <w:color w:val="auto"/>
                <w:lang w:eastAsia="en-AU"/>
              </w:rPr>
              <w:t xml:space="preserve">On return, screenshot of my tweets regarding the need to resolve this issue were sent to my former employer by a then staff member of the Premier’s Office with an intention to silence my voice. </w:t>
            </w:r>
          </w:p>
          <w:p w14:paraId="642C6BCB" w14:textId="77777777" w:rsidR="00581A5E" w:rsidRPr="007901DB" w:rsidRDefault="00581A5E" w:rsidP="00D0581F">
            <w:pPr>
              <w:rPr>
                <w:color w:val="auto"/>
                <w:lang w:eastAsia="en-AU"/>
              </w:rPr>
            </w:pPr>
            <w:r w:rsidRPr="007901DB">
              <w:rPr>
                <w:color w:val="auto"/>
                <w:lang w:eastAsia="en-AU"/>
              </w:rPr>
              <w:t xml:space="preserve">What this government policy did to me was make me feel invisible, unheard, not understood, not cared about, I felt ashamed, I felt misunderstood, I felt targeted if I spoke out, I felt like I was taboo, I felt lied to, I felt isolated, I felt alone, I felt un-represented. </w:t>
            </w:r>
          </w:p>
          <w:p w14:paraId="173031ED" w14:textId="73AAA9BE" w:rsidR="00581A5E" w:rsidRPr="007901DB" w:rsidRDefault="00581A5E" w:rsidP="00D0581F">
            <w:pPr>
              <w:rPr>
                <w:color w:val="auto"/>
                <w:lang w:eastAsia="en-AU"/>
              </w:rPr>
            </w:pPr>
            <w:r w:rsidRPr="007901DB">
              <w:rPr>
                <w:color w:val="auto"/>
                <w:lang w:eastAsia="en-AU"/>
              </w:rPr>
              <w:lastRenderedPageBreak/>
              <w:t>I also felt determined to fill that information void with my lived experience. I felt like I had the right connections to fix this, to work with the decision makers to really understand what is going on.</w:t>
            </w:r>
            <w:r w:rsidR="00031CAA">
              <w:rPr>
                <w:color w:val="auto"/>
                <w:lang w:eastAsia="en-AU"/>
              </w:rPr>
              <w:t>”</w:t>
            </w:r>
            <w:r w:rsidRPr="007901DB">
              <w:rPr>
                <w:color w:val="auto"/>
                <w:lang w:eastAsia="en-AU"/>
              </w:rPr>
              <w:t xml:space="preserve"> </w:t>
            </w:r>
          </w:p>
          <w:p w14:paraId="2EF80925" w14:textId="77777777" w:rsidR="00581A5E" w:rsidRPr="007901DB" w:rsidRDefault="00581A5E" w:rsidP="00D0581F">
            <w:pPr>
              <w:rPr>
                <w:color w:val="auto"/>
              </w:rPr>
            </w:pPr>
            <w:r w:rsidRPr="007901DB">
              <w:rPr>
                <w:color w:val="auto"/>
              </w:rPr>
              <w:t>Angela Williamson, Tasmania</w:t>
            </w:r>
          </w:p>
        </w:tc>
      </w:tr>
    </w:tbl>
    <w:p w14:paraId="1D2E5529" w14:textId="77777777" w:rsidR="00031CAA" w:rsidRDefault="00031CAA" w:rsidP="00D0581F"/>
    <w:p w14:paraId="6164E69F" w14:textId="6F2FF09B" w:rsidR="00581A5E" w:rsidRPr="00A618BE" w:rsidRDefault="00581A5E" w:rsidP="00D0581F">
      <w:r>
        <w:t>Establishing</w:t>
      </w:r>
      <w:r w:rsidRPr="00A618BE">
        <w:t xml:space="preserve"> </w:t>
      </w:r>
      <w:r>
        <w:t>another surgical abortion service in Tasmania</w:t>
      </w:r>
      <w:r w:rsidRPr="00A618BE">
        <w:t xml:space="preserve"> has taken more than 10 months</w:t>
      </w:r>
      <w:r>
        <w:t>.</w:t>
      </w:r>
      <w:r w:rsidRPr="00A618BE">
        <w:rPr>
          <w:rStyle w:val="EndnoteReference"/>
          <w:color w:val="000000"/>
        </w:rPr>
        <w:endnoteReference w:id="187"/>
      </w:r>
      <w:r w:rsidRPr="00A618BE">
        <w:t xml:space="preserve"> Data from Marie Stopes Australia reveals that, on average, </w:t>
      </w:r>
      <w:r>
        <w:t xml:space="preserve">at least </w:t>
      </w:r>
      <w:r w:rsidRPr="00A618BE">
        <w:t xml:space="preserve">ten Tasmanian women per month travelled interstate to access surgical services </w:t>
      </w:r>
      <w:r w:rsidR="00452411">
        <w:t>between</w:t>
      </w:r>
      <w:r w:rsidR="00452411" w:rsidRPr="00A618BE">
        <w:t xml:space="preserve"> </w:t>
      </w:r>
      <w:r w:rsidRPr="00A618BE">
        <w:t>January 2018</w:t>
      </w:r>
      <w:r w:rsidR="00452411">
        <w:t xml:space="preserve"> and November 2018</w:t>
      </w:r>
      <w:r w:rsidRPr="00A618BE">
        <w:t>. The laws and lack of public support for critical sexual and reproductive health services including support to end or to continue a pregnancy, directly interferes with autonomous decision-making of reproductive health. Further, the lack of public health funding attributed to sexual and reproductive health, including abortion care and contraception, on a national level reveals deep inequities in access depending on where a person lives</w:t>
      </w:r>
      <w:r>
        <w:t>.</w:t>
      </w:r>
      <w:r w:rsidRPr="00A618BE">
        <w:rPr>
          <w:rStyle w:val="EndnoteReference"/>
          <w:color w:val="000000"/>
        </w:rPr>
        <w:endnoteReference w:id="188"/>
      </w:r>
      <w:r w:rsidRPr="00A618BE">
        <w:t xml:space="preserve"> </w:t>
      </w:r>
      <w:r>
        <w:t xml:space="preserve">At the time of publication, there </w:t>
      </w:r>
      <w:r w:rsidR="00452411">
        <w:t xml:space="preserve">were </w:t>
      </w:r>
      <w:r>
        <w:t>still a number of access issues.</w:t>
      </w:r>
      <w:r>
        <w:rPr>
          <w:rStyle w:val="EndnoteReference"/>
        </w:rPr>
        <w:endnoteReference w:id="189"/>
      </w:r>
      <w:r>
        <w:t xml:space="preserve"> </w:t>
      </w:r>
    </w:p>
    <w:p w14:paraId="76F046FD" w14:textId="77777777" w:rsidR="00581A5E" w:rsidRPr="00A618BE" w:rsidRDefault="00581A5E" w:rsidP="00D0581F">
      <w:r w:rsidRPr="00A618BE">
        <w:t xml:space="preserve">As highlighted in </w:t>
      </w:r>
      <w:proofErr w:type="gramStart"/>
      <w:r w:rsidRPr="00A618BE">
        <w:t>a number of</w:t>
      </w:r>
      <w:proofErr w:type="gramEnd"/>
      <w:r w:rsidRPr="00A618BE">
        <w:t xml:space="preserve"> submissions, a national strategy that addresses the sexual and reproductive health needs of Australians will help to provide more equitable access to support and services across the country. </w:t>
      </w:r>
      <w:r>
        <w:t>This means e</w:t>
      </w:r>
      <w:r w:rsidRPr="00A618BE">
        <w:t>quitable access to services that provide contraception, abortion care, sexual and reproductive health literacy, fertility treatment and sexual health screening and treatment will help to increase reproductive healthcare options</w:t>
      </w:r>
      <w:r w:rsidRPr="00A618BE">
        <w:rPr>
          <w:rStyle w:val="EndnoteReference"/>
          <w:color w:val="000000"/>
        </w:rPr>
        <w:endnoteReference w:id="190"/>
      </w:r>
      <w:r w:rsidRPr="00A618BE">
        <w:t xml:space="preserve"> and support autonomous reproductive health decision-making for all Australians. </w:t>
      </w:r>
    </w:p>
    <w:p w14:paraId="7AE040F5" w14:textId="77777777" w:rsidR="00581A5E" w:rsidRPr="00A618BE" w:rsidRDefault="00581A5E" w:rsidP="00D0581F">
      <w:r w:rsidRPr="00A618BE">
        <w:t>A national strategy that provides national consistency in abortion laws and funding will help to increase access to vital services for people who are experiencing pregnancy coercion.</w:t>
      </w:r>
      <w:r w:rsidRPr="00A618BE">
        <w:rPr>
          <w:rStyle w:val="EndnoteReference"/>
          <w:color w:val="000000"/>
        </w:rPr>
        <w:endnoteReference w:id="191"/>
      </w:r>
      <w:r w:rsidRPr="00A618BE">
        <w:t xml:space="preserve"> The current laws and overall inconsistency in publicly funded abortion services limits</w:t>
      </w:r>
      <w:r>
        <w:t xml:space="preserve"> an</w:t>
      </w:r>
      <w:r w:rsidRPr="00A618BE">
        <w:t xml:space="preserve"> </w:t>
      </w:r>
      <w:r>
        <w:t>individual’s</w:t>
      </w:r>
      <w:r w:rsidRPr="00A618BE">
        <w:t xml:space="preserve"> ability to make autonomous decisions about their own reproductive health</w:t>
      </w:r>
      <w:r>
        <w:t>.</w:t>
      </w:r>
      <w:r w:rsidRPr="00A618BE">
        <w:rPr>
          <w:rStyle w:val="EndnoteReference"/>
          <w:color w:val="000000"/>
        </w:rPr>
        <w:endnoteReference w:id="192"/>
      </w:r>
      <w:r w:rsidRPr="00A618BE">
        <w:t xml:space="preserve"> </w:t>
      </w:r>
    </w:p>
    <w:p w14:paraId="0828EA53" w14:textId="36BBC1AD" w:rsidR="00581A5E" w:rsidRPr="00A618BE" w:rsidRDefault="00581A5E" w:rsidP="00D0581F">
      <w:r w:rsidRPr="00A618BE">
        <w:t>With the current review of the Medical Benefits Scheme (MBS), there is an opportunity to also review MBS item numbers and subsequent rebates for certain procedures that are either not currently covered by the MBS or have inadequate rebates</w:t>
      </w:r>
      <w:r>
        <w:t>.</w:t>
      </w:r>
      <w:r w:rsidRPr="00A618BE">
        <w:rPr>
          <w:rStyle w:val="EndnoteReference"/>
          <w:color w:val="000000"/>
        </w:rPr>
        <w:endnoteReference w:id="193"/>
      </w:r>
      <w:r w:rsidRPr="00A618BE">
        <w:t xml:space="preserve"> These procedures include insertion of </w:t>
      </w:r>
      <w:r>
        <w:t>LARC</w:t>
      </w:r>
      <w:r w:rsidRPr="00A618BE">
        <w:t xml:space="preserve">, Termination of Pregnancy services and insertion of LARC following a Termination of Pregnancy. </w:t>
      </w:r>
      <w:r>
        <w:t xml:space="preserve">The effect of such reforms would increase access and availability of these reproductive health services. For people experiencing </w:t>
      </w:r>
      <w:r w:rsidR="00452411">
        <w:t>r</w:t>
      </w:r>
      <w:r w:rsidR="00452411" w:rsidRPr="00A618BE">
        <w:t xml:space="preserve">eproductive </w:t>
      </w:r>
      <w:r w:rsidR="00452411">
        <w:t>c</w:t>
      </w:r>
      <w:r w:rsidR="00452411" w:rsidRPr="00A618BE">
        <w:t>oercion</w:t>
      </w:r>
      <w:r>
        <w:t>, the ability to access these services in the right place at the right time is critical.</w:t>
      </w:r>
      <w:r>
        <w:rPr>
          <w:rStyle w:val="EndnoteReference"/>
        </w:rPr>
        <w:endnoteReference w:id="194"/>
      </w:r>
      <w:r>
        <w:t xml:space="preserve">  </w:t>
      </w:r>
    </w:p>
    <w:p w14:paraId="4647C1A2" w14:textId="77777777" w:rsidR="00031CAA" w:rsidRDefault="00581A5E" w:rsidP="00D0581F">
      <w:r w:rsidRPr="00A618BE">
        <w:t>Given the importance of sexual and reproductive health to overall health,</w:t>
      </w:r>
      <w:r w:rsidRPr="00A618BE">
        <w:rPr>
          <w:rStyle w:val="EndnoteReference"/>
          <w:color w:val="000000"/>
        </w:rPr>
        <w:endnoteReference w:id="195"/>
      </w:r>
      <w:r w:rsidRPr="00A618BE">
        <w:t xml:space="preserve"> there is an opportunity to address the complex and changing sexual and reproductive health needs of individuals over time through a GP-coordinated sexual and reproductive health plan. </w:t>
      </w:r>
      <w:r>
        <w:t xml:space="preserve">A sexual and reproductive healthcare plan could be rolled out in the same way that mental health care plans have been rolled out across primary health care settings. </w:t>
      </w:r>
    </w:p>
    <w:p w14:paraId="24B2143F" w14:textId="1585BA46" w:rsidR="00581A5E" w:rsidRPr="00A618BE" w:rsidRDefault="00581A5E" w:rsidP="00D0581F">
      <w:r>
        <w:lastRenderedPageBreak/>
        <w:t xml:space="preserve">A </w:t>
      </w:r>
      <w:r w:rsidRPr="00A618BE">
        <w:t xml:space="preserve">sexual and reproductive healthcare plan could provide access to services such as contraception, sexual health screening and treatment, abortion care and fertility treatment. </w:t>
      </w:r>
    </w:p>
    <w:p w14:paraId="5EBF812A" w14:textId="1F7CD4E4" w:rsidR="00581A5E" w:rsidRPr="00BE4A29" w:rsidRDefault="00581A5E" w:rsidP="00D0581F">
      <w:pPr>
        <w:rPr>
          <w:b/>
        </w:rPr>
      </w:pPr>
      <w:bookmarkStart w:id="132" w:name="_Toc530573378"/>
      <w:r w:rsidRPr="00BE4A29">
        <w:rPr>
          <w:b/>
        </w:rPr>
        <w:t xml:space="preserve">The </w:t>
      </w:r>
      <w:r w:rsidR="00031CAA">
        <w:rPr>
          <w:b/>
        </w:rPr>
        <w:t>l</w:t>
      </w:r>
      <w:r w:rsidRPr="00BE4A29">
        <w:rPr>
          <w:b/>
        </w:rPr>
        <w:t>aw</w:t>
      </w:r>
      <w:bookmarkEnd w:id="132"/>
    </w:p>
    <w:p w14:paraId="73CAFEA6" w14:textId="205D7D13" w:rsidR="00581A5E" w:rsidRPr="00A618BE" w:rsidRDefault="00581A5E" w:rsidP="00D0581F">
      <w:r w:rsidRPr="00A618BE">
        <w:t xml:space="preserve">As part of the consultation process for this </w:t>
      </w:r>
      <w:r w:rsidR="00452411">
        <w:t>w</w:t>
      </w:r>
      <w:r w:rsidRPr="00A618BE">
        <w:t xml:space="preserve">hite </w:t>
      </w:r>
      <w:r w:rsidR="00452411">
        <w:t>p</w:t>
      </w:r>
      <w:r w:rsidRPr="00A618BE">
        <w:t xml:space="preserve">aper, </w:t>
      </w:r>
      <w:proofErr w:type="gramStart"/>
      <w:r w:rsidRPr="00A618BE">
        <w:t>a number of</w:t>
      </w:r>
      <w:proofErr w:type="gramEnd"/>
      <w:r w:rsidRPr="00A618BE">
        <w:t xml:space="preserve"> submissions questioned whether current laws can appropriately respond to instances of </w:t>
      </w:r>
      <w:r w:rsidR="00452411">
        <w:t>r</w:t>
      </w:r>
      <w:r w:rsidR="00452411" w:rsidRPr="00A618BE">
        <w:t xml:space="preserve">eproductive </w:t>
      </w:r>
      <w:r w:rsidR="00452411">
        <w:t>c</w:t>
      </w:r>
      <w:r w:rsidR="00452411" w:rsidRPr="00A618BE">
        <w:t>oercion</w:t>
      </w:r>
      <w:r w:rsidRPr="00A618BE">
        <w:t xml:space="preserve">. While there is no specific law that currently addresses </w:t>
      </w:r>
      <w:r w:rsidR="00452411">
        <w:t>r</w:t>
      </w:r>
      <w:r w:rsidR="00452411" w:rsidRPr="00A618BE">
        <w:t xml:space="preserve">eproductive </w:t>
      </w:r>
      <w:r w:rsidR="00452411">
        <w:t>c</w:t>
      </w:r>
      <w:r w:rsidR="00452411" w:rsidRPr="00A618BE">
        <w:t>oercion</w:t>
      </w:r>
      <w:r w:rsidR="00452411">
        <w:t xml:space="preserve"> </w:t>
      </w:r>
      <w:r w:rsidRPr="00A618BE">
        <w:t>in Australia</w:t>
      </w:r>
      <w:r>
        <w:t>,</w:t>
      </w:r>
      <w:r w:rsidRPr="00A618BE">
        <w:rPr>
          <w:rStyle w:val="EndnoteReference"/>
          <w:color w:val="000000"/>
        </w:rPr>
        <w:endnoteReference w:id="196"/>
      </w:r>
      <w:r w:rsidRPr="00A618BE">
        <w:t xml:space="preserve"> there are, several laws that deal with consent that are applicable to </w:t>
      </w:r>
      <w:r w:rsidR="00452411">
        <w:t>r</w:t>
      </w:r>
      <w:r w:rsidR="00452411" w:rsidRPr="00A618BE">
        <w:t xml:space="preserve">eproductive </w:t>
      </w:r>
      <w:r w:rsidR="00452411">
        <w:t>c</w:t>
      </w:r>
      <w:r w:rsidR="00452411" w:rsidRPr="00A618BE">
        <w:t>oercion</w:t>
      </w:r>
      <w:r>
        <w:t>.</w:t>
      </w:r>
      <w:r w:rsidRPr="00A618BE">
        <w:rPr>
          <w:rStyle w:val="EndnoteReference"/>
          <w:color w:val="000000"/>
        </w:rPr>
        <w:endnoteReference w:id="197"/>
      </w:r>
      <w:r w:rsidRPr="00A618BE">
        <w:t xml:space="preserve"> For example, the following actions relevant to </w:t>
      </w:r>
      <w:r w:rsidR="00452411">
        <w:t>r</w:t>
      </w:r>
      <w:r w:rsidR="00452411" w:rsidRPr="00A618BE">
        <w:t xml:space="preserve">eproductive </w:t>
      </w:r>
      <w:r w:rsidR="00452411">
        <w:t>c</w:t>
      </w:r>
      <w:r w:rsidR="00452411" w:rsidRPr="00A618BE">
        <w:t>oercion</w:t>
      </w:r>
      <w:r w:rsidR="00FF1BCC">
        <w:t xml:space="preserve"> </w:t>
      </w:r>
      <w:r w:rsidRPr="00A618BE">
        <w:t>are addressed in criminal law:</w:t>
      </w:r>
      <w:r w:rsidRPr="00A618BE" w:rsidDel="00F128C6">
        <w:t xml:space="preserve"> </w:t>
      </w:r>
    </w:p>
    <w:p w14:paraId="4D9810B4" w14:textId="312CB4AE" w:rsidR="00581A5E" w:rsidRPr="00A618BE" w:rsidRDefault="00581A5E" w:rsidP="00D0581F">
      <w:pPr>
        <w:pStyle w:val="ListParagraph"/>
        <w:numPr>
          <w:ilvl w:val="0"/>
          <w:numId w:val="32"/>
        </w:numPr>
        <w:spacing w:before="240" w:after="240"/>
      </w:pPr>
      <w:r w:rsidRPr="00A618BE">
        <w:t xml:space="preserve">Rape: </w:t>
      </w:r>
      <w:r w:rsidR="00452411">
        <w:t>r</w:t>
      </w:r>
      <w:r w:rsidR="00452411" w:rsidRPr="00A618BE">
        <w:t xml:space="preserve">eproductive </w:t>
      </w:r>
      <w:r w:rsidR="00452411">
        <w:t>c</w:t>
      </w:r>
      <w:r w:rsidR="00452411" w:rsidRPr="00A618BE">
        <w:t>oercion</w:t>
      </w:r>
      <w:r w:rsidR="00452411">
        <w:t xml:space="preserve"> </w:t>
      </w:r>
      <w:r w:rsidRPr="00A618BE">
        <w:t>can be classified as rape depending on the circumstances and whether those circumstances do not constitute consent</w:t>
      </w:r>
      <w:r>
        <w:t>.</w:t>
      </w:r>
      <w:r>
        <w:rPr>
          <w:rStyle w:val="EndnoteReference"/>
        </w:rPr>
        <w:endnoteReference w:id="198"/>
      </w:r>
    </w:p>
    <w:p w14:paraId="5DC5A088" w14:textId="77777777" w:rsidR="00581A5E" w:rsidRPr="00A618BE" w:rsidRDefault="00581A5E" w:rsidP="00D0581F">
      <w:pPr>
        <w:pStyle w:val="ListParagraph"/>
        <w:numPr>
          <w:ilvl w:val="0"/>
          <w:numId w:val="32"/>
        </w:numPr>
        <w:spacing w:before="240" w:after="240"/>
      </w:pPr>
      <w:r w:rsidRPr="00A618BE">
        <w:t>Causing (serious) injury intentionally or causing (serious injury) recklessly: an argument can be made that an unplanned or forced pregnancy constitutes injury (as injury</w:t>
      </w:r>
      <w:r>
        <w:t xml:space="preserve"> does not have to be permanent)</w:t>
      </w:r>
      <w:r w:rsidRPr="00A618BE">
        <w:t xml:space="preserve"> although it would be difficult to argue that an unplanned or forced pregnancy would cause serious injury</w:t>
      </w:r>
      <w:r>
        <w:t>.</w:t>
      </w:r>
      <w:r w:rsidRPr="00A618BE">
        <w:rPr>
          <w:rStyle w:val="EndnoteReference"/>
          <w:color w:val="000000"/>
        </w:rPr>
        <w:endnoteReference w:id="199"/>
      </w:r>
      <w:r w:rsidRPr="00A618BE">
        <w:t xml:space="preserve"> </w:t>
      </w:r>
    </w:p>
    <w:p w14:paraId="01AC64C4" w14:textId="77777777" w:rsidR="00581A5E" w:rsidRPr="00A618BE" w:rsidRDefault="00581A5E" w:rsidP="00D0581F">
      <w:pPr>
        <w:pStyle w:val="ListParagraph"/>
        <w:numPr>
          <w:ilvl w:val="0"/>
          <w:numId w:val="32"/>
        </w:numPr>
        <w:spacing w:before="240" w:after="240"/>
      </w:pPr>
      <w:r w:rsidRPr="00A618BE">
        <w:t>Assault: ‘</w:t>
      </w:r>
      <w:proofErr w:type="spellStart"/>
      <w:r w:rsidRPr="00A618BE">
        <w:t>Stealthing</w:t>
      </w:r>
      <w:proofErr w:type="spellEnd"/>
      <w:r w:rsidRPr="00A618BE">
        <w:t>’</w:t>
      </w:r>
      <w:r w:rsidRPr="00A618BE">
        <w:rPr>
          <w:rStyle w:val="EndnoteReference"/>
          <w:color w:val="000000"/>
        </w:rPr>
        <w:endnoteReference w:id="200"/>
      </w:r>
      <w:r w:rsidRPr="00A618BE">
        <w:t xml:space="preserve"> may be classified as assault where the application of force is the sexual </w:t>
      </w:r>
      <w:proofErr w:type="gramStart"/>
      <w:r w:rsidRPr="00A618BE">
        <w:t>act</w:t>
      </w:r>
      <w:proofErr w:type="gramEnd"/>
      <w:r w:rsidRPr="00A618BE">
        <w:t xml:space="preserve"> and the injury is the forced pregnancy</w:t>
      </w:r>
      <w:r>
        <w:t>.</w:t>
      </w:r>
      <w:r w:rsidRPr="00A618BE">
        <w:rPr>
          <w:rStyle w:val="EndnoteReference"/>
          <w:color w:val="000000"/>
        </w:rPr>
        <w:endnoteReference w:id="201"/>
      </w:r>
      <w:r w:rsidRPr="00A618BE">
        <w:t xml:space="preserve">  </w:t>
      </w:r>
    </w:p>
    <w:p w14:paraId="4DA26122" w14:textId="1B1C44B0" w:rsidR="00581A5E" w:rsidRPr="00A618BE" w:rsidRDefault="00581A5E" w:rsidP="00D0581F">
      <w:pPr>
        <w:pStyle w:val="ListParagraph"/>
        <w:numPr>
          <w:ilvl w:val="0"/>
          <w:numId w:val="32"/>
        </w:numPr>
        <w:spacing w:before="240" w:after="240"/>
      </w:pPr>
      <w:r w:rsidRPr="00A618BE">
        <w:t xml:space="preserve">Procuring sexual act by fraud: </w:t>
      </w:r>
      <w:proofErr w:type="spellStart"/>
      <w:r w:rsidRPr="00A618BE">
        <w:t>stealthing</w:t>
      </w:r>
      <w:proofErr w:type="spellEnd"/>
      <w:r w:rsidRPr="00A618BE">
        <w:t xml:space="preserve"> </w:t>
      </w:r>
      <w:proofErr w:type="gramStart"/>
      <w:r w:rsidRPr="00A618BE">
        <w:t>in particular may</w:t>
      </w:r>
      <w:proofErr w:type="gramEnd"/>
      <w:r w:rsidRPr="00A618BE">
        <w:t xml:space="preserve"> constitute a false or misleading representation and so this form of </w:t>
      </w:r>
      <w:r w:rsidR="00452411">
        <w:t>r</w:t>
      </w:r>
      <w:r w:rsidR="00452411" w:rsidRPr="00A618BE">
        <w:t xml:space="preserve">eproductive </w:t>
      </w:r>
      <w:r w:rsidR="00452411">
        <w:t>c</w:t>
      </w:r>
      <w:r w:rsidR="00452411" w:rsidRPr="00A618BE">
        <w:t>oercion</w:t>
      </w:r>
      <w:r w:rsidR="00452411">
        <w:t xml:space="preserve"> </w:t>
      </w:r>
      <w:r w:rsidRPr="00A618BE">
        <w:t>can be viewed in the context of this criminal act</w:t>
      </w:r>
      <w:r>
        <w:t>.</w:t>
      </w:r>
      <w:r w:rsidRPr="00A618BE">
        <w:rPr>
          <w:rStyle w:val="EndnoteReference"/>
          <w:color w:val="000000"/>
        </w:rPr>
        <w:endnoteReference w:id="202"/>
      </w:r>
    </w:p>
    <w:p w14:paraId="69753C74" w14:textId="2683E6BC" w:rsidR="00581A5E" w:rsidRPr="00A618BE" w:rsidRDefault="00581A5E" w:rsidP="00D0581F">
      <w:pPr>
        <w:pStyle w:val="ListParagraph"/>
        <w:numPr>
          <w:ilvl w:val="0"/>
          <w:numId w:val="32"/>
        </w:numPr>
        <w:spacing w:before="240" w:after="240"/>
      </w:pPr>
      <w:r w:rsidRPr="00A618BE">
        <w:t xml:space="preserve">Family Violence Act: </w:t>
      </w:r>
      <w:r w:rsidR="00452411">
        <w:t>r</w:t>
      </w:r>
      <w:r w:rsidR="00452411" w:rsidRPr="00A618BE">
        <w:t xml:space="preserve">eproductive </w:t>
      </w:r>
      <w:r w:rsidR="00452411">
        <w:t>c</w:t>
      </w:r>
      <w:r w:rsidR="00452411" w:rsidRPr="00A618BE">
        <w:t>oercion</w:t>
      </w:r>
      <w:r w:rsidR="00452411">
        <w:t xml:space="preserve"> </w:t>
      </w:r>
      <w:r w:rsidRPr="00A618BE">
        <w:t xml:space="preserve">fits within the Family Protection Act </w:t>
      </w:r>
      <w:r w:rsidR="00AF39E7">
        <w:t xml:space="preserve">2008 </w:t>
      </w:r>
      <w:r w:rsidRPr="00A618BE">
        <w:t>and the definition of what constitutes FV. The act provides a specific example of “sexually assaulting a family member or engaging in another form of sexually coercive behaviour”</w:t>
      </w:r>
      <w:r>
        <w:t>.</w:t>
      </w:r>
      <w:r w:rsidRPr="00A618BE">
        <w:rPr>
          <w:rStyle w:val="EndnoteReference"/>
          <w:color w:val="000000"/>
        </w:rPr>
        <w:endnoteReference w:id="203"/>
      </w:r>
    </w:p>
    <w:p w14:paraId="519D1C96" w14:textId="2D37891F" w:rsidR="00581A5E" w:rsidRPr="00A618BE" w:rsidRDefault="00581A5E" w:rsidP="00D0581F">
      <w:pPr>
        <w:pStyle w:val="ListParagraph"/>
        <w:numPr>
          <w:ilvl w:val="0"/>
          <w:numId w:val="32"/>
        </w:numPr>
        <w:spacing w:before="240" w:after="240"/>
      </w:pPr>
      <w:r w:rsidRPr="00A618BE">
        <w:t xml:space="preserve">Child Welfare Legislation: this may have the consequence of tying a husband and wife together where the birth of a child has been the result of </w:t>
      </w:r>
      <w:r w:rsidR="00AF39E7" w:rsidRPr="00A618BE">
        <w:t>Family Protection Act</w:t>
      </w:r>
      <w:r>
        <w:t>.</w:t>
      </w:r>
      <w:r w:rsidRPr="00A618BE">
        <w:rPr>
          <w:rStyle w:val="EndnoteReference"/>
          <w:color w:val="000000"/>
        </w:rPr>
        <w:endnoteReference w:id="204"/>
      </w:r>
    </w:p>
    <w:p w14:paraId="135E764B" w14:textId="4183E56D" w:rsidR="00581A5E" w:rsidRDefault="00581A5E" w:rsidP="00D0581F">
      <w:r w:rsidRPr="00A618BE">
        <w:t xml:space="preserve">Although </w:t>
      </w:r>
      <w:r w:rsidR="00AF39E7" w:rsidRPr="00A618BE">
        <w:t>Family Protection Act</w:t>
      </w:r>
      <w:r w:rsidR="00AF39E7" w:rsidRPr="00A618BE" w:rsidDel="00AF39E7">
        <w:t xml:space="preserve"> </w:t>
      </w:r>
      <w:r w:rsidRPr="00A618BE">
        <w:t xml:space="preserve">is not specifically mentioned in the above criminal laws, these criminal laws could arguably be applied to certain behaviours that are examples of </w:t>
      </w:r>
      <w:r w:rsidR="00AF39E7" w:rsidRPr="00A618BE">
        <w:t>Family Protection Act</w:t>
      </w:r>
      <w:r>
        <w:t>.</w:t>
      </w:r>
      <w:r w:rsidRPr="00A618BE">
        <w:rPr>
          <w:rStyle w:val="EndnoteReference"/>
        </w:rPr>
        <w:endnoteReference w:id="205"/>
      </w:r>
    </w:p>
    <w:p w14:paraId="29ECDFE2" w14:textId="7115EC31" w:rsidR="00581A5E" w:rsidRDefault="00581A5E" w:rsidP="00D0581F">
      <w:r>
        <w:t xml:space="preserve">A final word needs to be said on the legal aspects of </w:t>
      </w:r>
      <w:r w:rsidR="00AF39E7">
        <w:t>r</w:t>
      </w:r>
      <w:r w:rsidR="00AF39E7" w:rsidRPr="00A618BE">
        <w:t xml:space="preserve">eproductive </w:t>
      </w:r>
      <w:r w:rsidR="00AF39E7">
        <w:t>c</w:t>
      </w:r>
      <w:r w:rsidR="00AF39E7" w:rsidRPr="00A618BE">
        <w:t>oercion</w:t>
      </w:r>
      <w:r w:rsidR="00AF39E7">
        <w:t xml:space="preserve"> </w:t>
      </w:r>
      <w:r>
        <w:t>as it relates to the roll out of My Health Record. A number of legitimate and significant concerns have been raised by organisations responding to IPV, SV and FV about access to records by abusive partners.</w:t>
      </w:r>
      <w:r>
        <w:rPr>
          <w:rStyle w:val="EndnoteReference"/>
        </w:rPr>
        <w:endnoteReference w:id="206"/>
      </w:r>
      <w:r>
        <w:t xml:space="preserve"> Any health record that could detail access to STI test results, contraception and abortion procedures impacts on the issue of </w:t>
      </w:r>
      <w:r w:rsidR="00AF39E7">
        <w:t>r</w:t>
      </w:r>
      <w:r w:rsidR="00AF39E7" w:rsidRPr="00A618BE">
        <w:t xml:space="preserve">eproductive </w:t>
      </w:r>
      <w:r w:rsidR="00AF39E7">
        <w:t>c</w:t>
      </w:r>
      <w:r w:rsidR="00AF39E7" w:rsidRPr="00A618BE">
        <w:t>oercion</w:t>
      </w:r>
      <w:r w:rsidR="00AF39E7">
        <w:t xml:space="preserve"> </w:t>
      </w:r>
      <w:r>
        <w:t xml:space="preserve">in that people experiencing </w:t>
      </w:r>
      <w:r w:rsidR="00AF39E7">
        <w:t>r</w:t>
      </w:r>
      <w:r w:rsidR="00AF39E7" w:rsidRPr="00A618BE">
        <w:t xml:space="preserve">eproductive </w:t>
      </w:r>
      <w:r w:rsidR="00AF39E7">
        <w:t>c</w:t>
      </w:r>
      <w:r w:rsidR="00AF39E7" w:rsidRPr="00A618BE">
        <w:t>oercion</w:t>
      </w:r>
      <w:r w:rsidR="00AF39E7">
        <w:t xml:space="preserve"> </w:t>
      </w:r>
      <w:r>
        <w:t xml:space="preserve">who choose to access these services should do so without any fear that an abusive partner can gain access to such sensitive health services. </w:t>
      </w:r>
    </w:p>
    <w:p w14:paraId="00A778D6" w14:textId="77777777" w:rsidR="00031CAA" w:rsidRDefault="00031CAA">
      <w:pPr>
        <w:spacing w:after="160" w:line="259" w:lineRule="auto"/>
      </w:pPr>
      <w:r>
        <w:br w:type="page"/>
      </w:r>
    </w:p>
    <w:p w14:paraId="7F55A342" w14:textId="12FFF6B0" w:rsidR="00581A5E" w:rsidRPr="00992980" w:rsidRDefault="00581A5E" w:rsidP="00D0581F">
      <w:r w:rsidRPr="00992980">
        <w:lastRenderedPageBreak/>
        <w:t xml:space="preserve">My Health Record does not change the current position regarding access to a person's health information - in that broadly speaking a partner cannot access their partner's health information without the former's consent - but it did initially raise concerns because of the ability for both parents to access their children's records. In the case of domestic violence, this has the potential to pose a serious risk because it would enable a partner to access data such as the child (and mother's) residential address. Some pleasing amendments were passed through the Senate on 15 November 2018 which strengthen the privacy around electronic health records. These include amendments which provide that a parent will not be deemed to be an authorised representative of their child where the life, health or safety of the healthcare recipient or another person would be put at risk if the person was the authorised representative, and that the Australian Digital Health Agency will no longer be required to notify a parent that they have been removed as an authorised representative. These amendments </w:t>
      </w:r>
      <w:r w:rsidR="00AF39E7">
        <w:t>were</w:t>
      </w:r>
      <w:r w:rsidR="00AF39E7" w:rsidRPr="00992980">
        <w:t xml:space="preserve"> </w:t>
      </w:r>
      <w:r w:rsidRPr="00992980">
        <w:t xml:space="preserve">tabled before the House of Representatives on Monday, 26 November 2018. </w:t>
      </w:r>
    </w:p>
    <w:p w14:paraId="2B0C8BCC" w14:textId="07201353" w:rsidR="00581A5E" w:rsidRPr="00A618BE" w:rsidRDefault="00581A5E" w:rsidP="00D0581F"/>
    <w:p w14:paraId="1B5BE9FA" w14:textId="33D35461" w:rsidR="00581A5E" w:rsidRPr="00A618BE" w:rsidRDefault="00AF39E7" w:rsidP="00D0581F">
      <w:pPr>
        <w:pStyle w:val="Heading1"/>
        <w:spacing w:line="276" w:lineRule="auto"/>
      </w:pPr>
      <w:bookmarkStart w:id="133" w:name="_Toc530573379"/>
      <w:bookmarkStart w:id="134" w:name="_Toc57368605"/>
      <w:r>
        <w:t xml:space="preserve">8. </w:t>
      </w:r>
      <w:bookmarkEnd w:id="133"/>
      <w:r w:rsidR="00D771BE">
        <w:t>Health sector r</w:t>
      </w:r>
      <w:r>
        <w:t>ecommendations</w:t>
      </w:r>
      <w:r w:rsidR="00AF4EB1">
        <w:t xml:space="preserve"> and progress</w:t>
      </w:r>
      <w:bookmarkEnd w:id="134"/>
    </w:p>
    <w:p w14:paraId="2E5118F1" w14:textId="76DCF15E" w:rsidR="00AF4EB1" w:rsidRDefault="00581A5E" w:rsidP="00D0581F">
      <w:r>
        <w:t xml:space="preserve">This section focuses on recommendations to further investigate and address </w:t>
      </w:r>
      <w:r w:rsidR="00AF39E7">
        <w:t xml:space="preserve">reproductive coercion </w:t>
      </w:r>
      <w:r>
        <w:t>in Australia. The recommendations draw on the submissions and current literature considered in th</w:t>
      </w:r>
      <w:r w:rsidR="6F49470F">
        <w:t>e</w:t>
      </w:r>
      <w:r>
        <w:t xml:space="preserve"> </w:t>
      </w:r>
      <w:r w:rsidR="00AF39E7">
        <w:t>w</w:t>
      </w:r>
      <w:r>
        <w:t xml:space="preserve">hite </w:t>
      </w:r>
      <w:r w:rsidR="00AF39E7">
        <w:t>p</w:t>
      </w:r>
      <w:r>
        <w:t xml:space="preserve">aper consultation process and discussed in the previous sections of this report. </w:t>
      </w:r>
    </w:p>
    <w:p w14:paraId="302BDFA2" w14:textId="59E8027A" w:rsidR="00581A5E" w:rsidRPr="00A618BE" w:rsidRDefault="00581A5E" w:rsidP="00D0581F">
      <w:r>
        <w:t xml:space="preserve">Recommendations </w:t>
      </w:r>
      <w:r w:rsidR="00AF4EB1">
        <w:t xml:space="preserve">were written in 2018 and </w:t>
      </w:r>
      <w:r>
        <w:t>presented according to the three areas of enquiry set out in the</w:t>
      </w:r>
      <w:r w:rsidR="00AF4EB1">
        <w:t xml:space="preserve"> original</w:t>
      </w:r>
      <w:r>
        <w:t xml:space="preserve"> </w:t>
      </w:r>
      <w:r w:rsidR="00AF4EB1">
        <w:t>t</w:t>
      </w:r>
      <w:r>
        <w:t xml:space="preserve">erms of </w:t>
      </w:r>
      <w:r w:rsidR="00AF39E7">
        <w:t>r</w:t>
      </w:r>
      <w:r>
        <w:t>eference</w:t>
      </w:r>
      <w:r w:rsidR="6E9BE9F1">
        <w:t>,</w:t>
      </w:r>
      <w:r>
        <w:t xml:space="preserve"> </w:t>
      </w:r>
      <w:r w:rsidR="46AB0D40">
        <w:t>n</w:t>
      </w:r>
      <w:r>
        <w:t xml:space="preserve">amely research, </w:t>
      </w:r>
      <w:proofErr w:type="gramStart"/>
      <w:r>
        <w:t>policy</w:t>
      </w:r>
      <w:proofErr w:type="gramEnd"/>
      <w:r>
        <w:t xml:space="preserve"> and practice. </w:t>
      </w:r>
      <w:r w:rsidR="00AF4EB1">
        <w:t>Following each recommendation is a brief progress report which has been added in 2020.</w:t>
      </w:r>
    </w:p>
    <w:p w14:paraId="1E2F0C17" w14:textId="14E3E467" w:rsidR="00581A5E" w:rsidRPr="00D771BE" w:rsidRDefault="00581A5E" w:rsidP="00D0581F">
      <w:pPr>
        <w:pStyle w:val="Heading2"/>
      </w:pPr>
      <w:bookmarkStart w:id="135" w:name="_Toc57368606"/>
      <w:r w:rsidRPr="00D771BE">
        <w:t>Research</w:t>
      </w:r>
      <w:r w:rsidR="00D771BE" w:rsidRPr="00D771BE">
        <w:t xml:space="preserve"> </w:t>
      </w:r>
      <w:r w:rsidR="00D771BE">
        <w:t>r</w:t>
      </w:r>
      <w:r w:rsidR="00D771BE" w:rsidRPr="00D771BE">
        <w:t>ecommendations</w:t>
      </w:r>
      <w:bookmarkEnd w:id="135"/>
    </w:p>
    <w:p w14:paraId="0DEF97B7" w14:textId="5E332254" w:rsidR="00581A5E" w:rsidRPr="00331F71" w:rsidRDefault="00581A5E" w:rsidP="00D0581F">
      <w:pPr>
        <w:rPr>
          <w:b/>
          <w:sz w:val="28"/>
          <w:szCs w:val="28"/>
        </w:rPr>
      </w:pPr>
      <w:r w:rsidRPr="00331F71">
        <w:rPr>
          <w:b/>
          <w:sz w:val="28"/>
          <w:szCs w:val="28"/>
        </w:rPr>
        <w:t xml:space="preserve">Exploring the </w:t>
      </w:r>
      <w:r w:rsidR="00AF39E7">
        <w:rPr>
          <w:b/>
          <w:sz w:val="28"/>
          <w:szCs w:val="28"/>
        </w:rPr>
        <w:t>l</w:t>
      </w:r>
      <w:r w:rsidRPr="00331F71">
        <w:rPr>
          <w:b/>
          <w:sz w:val="28"/>
          <w:szCs w:val="28"/>
        </w:rPr>
        <w:t xml:space="preserve">ived </w:t>
      </w:r>
      <w:r w:rsidR="00AF39E7">
        <w:rPr>
          <w:b/>
          <w:sz w:val="28"/>
          <w:szCs w:val="28"/>
        </w:rPr>
        <w:t>e</w:t>
      </w:r>
      <w:r w:rsidRPr="00331F71">
        <w:rPr>
          <w:b/>
          <w:sz w:val="28"/>
          <w:szCs w:val="28"/>
        </w:rPr>
        <w:t xml:space="preserve">xperiences of </w:t>
      </w:r>
      <w:r w:rsidR="00AF39E7">
        <w:rPr>
          <w:b/>
          <w:sz w:val="28"/>
          <w:szCs w:val="28"/>
        </w:rPr>
        <w:t>reproductive coercion</w:t>
      </w:r>
    </w:p>
    <w:p w14:paraId="3B9BF44A" w14:textId="5879D76D" w:rsidR="00581A5E" w:rsidRPr="00A618BE" w:rsidRDefault="00581A5E" w:rsidP="00D0581F">
      <w:r w:rsidRPr="00A618BE">
        <w:t xml:space="preserve">People experience </w:t>
      </w:r>
      <w:r w:rsidR="00AF39E7">
        <w:t>r</w:t>
      </w:r>
      <w:r w:rsidR="00AF39E7" w:rsidRPr="00A618BE">
        <w:t xml:space="preserve">eproductive </w:t>
      </w:r>
      <w:r w:rsidR="00AF39E7">
        <w:t>c</w:t>
      </w:r>
      <w:r w:rsidR="00AF39E7" w:rsidRPr="00A618BE">
        <w:t>oercion</w:t>
      </w:r>
      <w:r w:rsidR="00AF39E7">
        <w:t xml:space="preserve"> </w:t>
      </w:r>
      <w:r w:rsidRPr="00A618BE">
        <w:t xml:space="preserve">in various ways. These experiences are driven by both interpersonal and structural factors and the interplay between the two. </w:t>
      </w:r>
      <w:proofErr w:type="gramStart"/>
      <w:r w:rsidRPr="00A618BE">
        <w:t>In order to</w:t>
      </w:r>
      <w:proofErr w:type="gramEnd"/>
      <w:r w:rsidRPr="00A618BE">
        <w:t xml:space="preserve"> gain a richer understanding of </w:t>
      </w:r>
      <w:r w:rsidR="00AF39E7">
        <w:t>r</w:t>
      </w:r>
      <w:r w:rsidR="00AF39E7" w:rsidRPr="00A618BE">
        <w:t xml:space="preserve">eproductive </w:t>
      </w:r>
      <w:r w:rsidR="00AF39E7">
        <w:t>c</w:t>
      </w:r>
      <w:r w:rsidR="00AF39E7" w:rsidRPr="00A618BE">
        <w:t>oercion</w:t>
      </w:r>
      <w:r w:rsidR="00AF39E7">
        <w:t xml:space="preserve"> </w:t>
      </w:r>
      <w:r w:rsidRPr="00A618BE">
        <w:t xml:space="preserve">and to develop appropriate, respectful, and effective prevention and response measures, and the various lived experiences of </w:t>
      </w:r>
      <w:r w:rsidR="00AF39E7">
        <w:t>r</w:t>
      </w:r>
      <w:r w:rsidR="00AF39E7" w:rsidRPr="00A618BE">
        <w:t xml:space="preserve">eproductive </w:t>
      </w:r>
      <w:r w:rsidR="00AF39E7">
        <w:t>c</w:t>
      </w:r>
      <w:r w:rsidR="00AF39E7" w:rsidRPr="00A618BE">
        <w:t>oercion</w:t>
      </w:r>
      <w:r w:rsidR="00AF39E7">
        <w:t xml:space="preserve"> </w:t>
      </w:r>
      <w:r w:rsidRPr="00A618BE">
        <w:t>must be explored</w:t>
      </w:r>
      <w:r>
        <w:t xml:space="preserve">. </w:t>
      </w:r>
      <w:r w:rsidRPr="00A618BE">
        <w:t>No one person or entity can explore these lived experiences and so exploration needs to be undertaken in a collaborative manner with multiple partners.</w:t>
      </w:r>
    </w:p>
    <w:p w14:paraId="68F7862F" w14:textId="77777777" w:rsidR="00581A5E" w:rsidRPr="006F3A97" w:rsidRDefault="00581A5E" w:rsidP="00D0581F">
      <w:pPr>
        <w:rPr>
          <w:b/>
        </w:rPr>
      </w:pPr>
      <w:r w:rsidRPr="006F3A97">
        <w:rPr>
          <w:b/>
        </w:rPr>
        <w:t>Recommendation 1</w:t>
      </w:r>
    </w:p>
    <w:p w14:paraId="7AE3A7F7" w14:textId="2240EC62" w:rsidR="00581A5E" w:rsidRPr="00A618BE" w:rsidRDefault="00581A5E" w:rsidP="00D0581F">
      <w:r w:rsidRPr="00A618BE">
        <w:t xml:space="preserve">A qualitative research base </w:t>
      </w:r>
      <w:r w:rsidR="00E02300">
        <w:t>should</w:t>
      </w:r>
      <w:r w:rsidR="00E02300" w:rsidRPr="00A618BE">
        <w:t xml:space="preserve"> </w:t>
      </w:r>
      <w:r w:rsidRPr="00A618BE">
        <w:t xml:space="preserve">be established that captures the multiple lived experiences of </w:t>
      </w:r>
      <w:r w:rsidR="00AF39E7">
        <w:t>r</w:t>
      </w:r>
      <w:r w:rsidR="00AF39E7" w:rsidRPr="00A618BE">
        <w:t xml:space="preserve">eproductive </w:t>
      </w:r>
      <w:r w:rsidR="00AF39E7">
        <w:t>c</w:t>
      </w:r>
      <w:r w:rsidR="00AF39E7" w:rsidRPr="00A618BE">
        <w:t>oercion</w:t>
      </w:r>
      <w:r w:rsidR="00AF39E7">
        <w:t xml:space="preserve"> </w:t>
      </w:r>
      <w:r w:rsidRPr="00A618BE">
        <w:t>and provides for a richer understanding of the most appropriate prevention and response measures. This should be achieved through:</w:t>
      </w:r>
    </w:p>
    <w:p w14:paraId="0AAFA858" w14:textId="340F5A4D" w:rsidR="00581A5E" w:rsidRPr="00A618BE" w:rsidRDefault="00031CAA" w:rsidP="00D0581F">
      <w:pPr>
        <w:pStyle w:val="ListParagraph"/>
        <w:numPr>
          <w:ilvl w:val="0"/>
          <w:numId w:val="15"/>
        </w:numPr>
        <w:spacing w:before="240" w:after="240"/>
      </w:pPr>
      <w:r>
        <w:lastRenderedPageBreak/>
        <w:t>a</w:t>
      </w:r>
      <w:r w:rsidR="00581A5E" w:rsidRPr="00A618BE">
        <w:t xml:space="preserve"> cooperative research network, established to share findings and </w:t>
      </w:r>
      <w:proofErr w:type="gramStart"/>
      <w:r w:rsidR="00581A5E" w:rsidRPr="00A618BE">
        <w:t>compare and contrast</w:t>
      </w:r>
      <w:proofErr w:type="gramEnd"/>
      <w:r w:rsidR="00581A5E" w:rsidRPr="00A618BE">
        <w:t xml:space="preserve"> lived experiences</w:t>
      </w:r>
    </w:p>
    <w:p w14:paraId="0FD9E3F4" w14:textId="19CA33BF" w:rsidR="00581A5E" w:rsidRPr="00A618BE" w:rsidRDefault="00031CAA" w:rsidP="00D0581F">
      <w:pPr>
        <w:pStyle w:val="ListParagraph"/>
        <w:numPr>
          <w:ilvl w:val="0"/>
          <w:numId w:val="15"/>
        </w:numPr>
        <w:spacing w:before="240" w:after="240"/>
      </w:pPr>
      <w:r>
        <w:t>k</w:t>
      </w:r>
      <w:r w:rsidR="00581A5E" w:rsidRPr="00A618BE">
        <w:t xml:space="preserve">ey research stakeholders sharing research findings under the auspice of this cooperative research network. Key research stakeholders include ANROWS, </w:t>
      </w:r>
      <w:r>
        <w:t>ANU</w:t>
      </w:r>
      <w:r w:rsidR="00581A5E">
        <w:t xml:space="preserve"> (in partnership with Marie Stopes Australia), </w:t>
      </w:r>
      <w:r w:rsidR="00581A5E" w:rsidRPr="00A618BE">
        <w:t xml:space="preserve">University of Melbourne’s Safer Families Centre of Research Excellence, Monash University’s SPHERE, Children </w:t>
      </w:r>
      <w:r w:rsidR="00AF39E7">
        <w:t>b</w:t>
      </w:r>
      <w:r w:rsidR="00581A5E" w:rsidRPr="00A618BE">
        <w:t xml:space="preserve">y Choice, University of </w:t>
      </w:r>
      <w:proofErr w:type="gramStart"/>
      <w:r w:rsidR="00581A5E" w:rsidRPr="00A618BE">
        <w:t>Queensland</w:t>
      </w:r>
      <w:proofErr w:type="gramEnd"/>
      <w:r w:rsidR="00581A5E" w:rsidRPr="00A618BE">
        <w:t xml:space="preserve"> and Griffith University</w:t>
      </w:r>
    </w:p>
    <w:p w14:paraId="350AD305" w14:textId="6BA17099" w:rsidR="00581A5E" w:rsidRPr="00A618BE" w:rsidRDefault="00031CAA" w:rsidP="00D0581F">
      <w:pPr>
        <w:pStyle w:val="ListParagraph"/>
        <w:numPr>
          <w:ilvl w:val="0"/>
          <w:numId w:val="15"/>
        </w:numPr>
        <w:spacing w:before="240" w:after="240"/>
      </w:pPr>
      <w:r>
        <w:t>r</w:t>
      </w:r>
      <w:r w:rsidR="00581A5E" w:rsidRPr="00A618BE">
        <w:t>egularly publishing research findings in peer-reviewed journals, in traditional media and presenting findings at conferences to facilitate the sharing of knowledge across stakeholders and their aligned industries</w:t>
      </w:r>
    </w:p>
    <w:p w14:paraId="7B4E3650" w14:textId="3587C14C" w:rsidR="00581A5E" w:rsidRDefault="00031CAA" w:rsidP="00D0581F">
      <w:pPr>
        <w:pStyle w:val="ListParagraph"/>
        <w:numPr>
          <w:ilvl w:val="0"/>
          <w:numId w:val="15"/>
        </w:numPr>
        <w:spacing w:before="240" w:after="240"/>
      </w:pPr>
      <w:r>
        <w:t>c</w:t>
      </w:r>
      <w:r w:rsidR="00581A5E" w:rsidRPr="00A618BE">
        <w:t xml:space="preserve">ollaborative research projects that seek to include, in respectful ways, the breadth and depth of experiences in diverse communities across Australia.  </w:t>
      </w:r>
    </w:p>
    <w:p w14:paraId="01ACB574" w14:textId="5E6346ED" w:rsidR="009C78CC" w:rsidRDefault="009C78CC" w:rsidP="00D0581F">
      <w:pPr>
        <w:spacing w:before="240" w:after="240"/>
        <w:rPr>
          <w:b/>
        </w:rPr>
      </w:pPr>
      <w:r w:rsidRPr="00BE4A29">
        <w:rPr>
          <w:b/>
        </w:rPr>
        <w:t>Progress</w:t>
      </w:r>
      <w:r>
        <w:rPr>
          <w:b/>
        </w:rPr>
        <w:t xml:space="preserve"> </w:t>
      </w:r>
      <w:r w:rsidRPr="00BE4A29">
        <w:rPr>
          <w:b/>
        </w:rPr>
        <w:t>on</w:t>
      </w:r>
      <w:r>
        <w:rPr>
          <w:b/>
        </w:rPr>
        <w:t xml:space="preserve"> developing</w:t>
      </w:r>
      <w:r w:rsidRPr="00BE4A29">
        <w:rPr>
          <w:b/>
        </w:rPr>
        <w:t xml:space="preserve"> qualitative research</w:t>
      </w:r>
      <w:r w:rsidRPr="009C78CC">
        <w:rPr>
          <w:b/>
        </w:rPr>
        <w:t xml:space="preserve"> base</w:t>
      </w:r>
    </w:p>
    <w:p w14:paraId="414BF0B9" w14:textId="6CB06B03" w:rsidR="00980BBE" w:rsidRDefault="00ED3790" w:rsidP="00D0581F">
      <w:pPr>
        <w:spacing w:before="240" w:after="240"/>
      </w:pPr>
      <w:r>
        <w:t xml:space="preserve">This recommendation has been partially met. </w:t>
      </w:r>
      <w:proofErr w:type="gramStart"/>
      <w:r w:rsidR="009C78CC">
        <w:t>A number of</w:t>
      </w:r>
      <w:proofErr w:type="gramEnd"/>
      <w:r w:rsidR="009C78CC">
        <w:t xml:space="preserve"> research networks are </w:t>
      </w:r>
      <w:r w:rsidR="00980BBE">
        <w:t>planning to or in the process of researching qualitative data relevant to</w:t>
      </w:r>
      <w:r w:rsidR="009C78CC">
        <w:t xml:space="preserve"> reproductive coercion. </w:t>
      </w:r>
      <w:r w:rsidR="00980BBE">
        <w:t>Over the past</w:t>
      </w:r>
      <w:r w:rsidR="009C78CC">
        <w:t xml:space="preserve"> two years </w:t>
      </w:r>
      <w:r w:rsidR="00980BBE">
        <w:t>in Australia</w:t>
      </w:r>
      <w:r w:rsidR="2B5A268A">
        <w:t>,</w:t>
      </w:r>
      <w:r w:rsidR="00980BBE">
        <w:t xml:space="preserve"> </w:t>
      </w:r>
      <w:r w:rsidR="009C78CC">
        <w:t xml:space="preserve">a </w:t>
      </w:r>
      <w:r w:rsidR="00980BBE">
        <w:t xml:space="preserve">small </w:t>
      </w:r>
      <w:r w:rsidR="009C78CC">
        <w:t>number of papers have been published</w:t>
      </w:r>
      <w:r w:rsidR="618CEF10">
        <w:t>,</w:t>
      </w:r>
      <w:r w:rsidR="000D51C5">
        <w:t xml:space="preserve"> and key academics have begun</w:t>
      </w:r>
      <w:r w:rsidR="00C70FCA">
        <w:t xml:space="preserve"> smaller</w:t>
      </w:r>
      <w:r w:rsidR="70653340">
        <w:t>-</w:t>
      </w:r>
      <w:r w:rsidR="00C70FCA">
        <w:t>scale qualitative studies</w:t>
      </w:r>
      <w:r w:rsidR="009C78CC">
        <w:t>.</w:t>
      </w:r>
      <w:r w:rsidR="009C78CC">
        <w:rPr>
          <w:rStyle w:val="EndnoteReference"/>
        </w:rPr>
        <w:endnoteReference w:id="207"/>
      </w:r>
      <w:r w:rsidR="009C78CC">
        <w:t xml:space="preserve"> </w:t>
      </w:r>
      <w:r w:rsidR="00980BBE">
        <w:t xml:space="preserve"> There is still much work to do both on a national context and within diverse population groups that experience intersections of oppression. </w:t>
      </w:r>
    </w:p>
    <w:p w14:paraId="357E2E1F" w14:textId="60A3EC07" w:rsidR="009C78CC" w:rsidRPr="009C78CC" w:rsidRDefault="00C70FCA" w:rsidP="00D0581F">
      <w:pPr>
        <w:spacing w:before="240" w:after="240"/>
      </w:pPr>
      <w:r>
        <w:t>I</w:t>
      </w:r>
      <w:r w:rsidR="00980BBE">
        <w:t>n the past two years</w:t>
      </w:r>
      <w:r w:rsidR="5A89E270">
        <w:t>,</w:t>
      </w:r>
      <w:r w:rsidR="00980BBE">
        <w:t xml:space="preserve"> there have been</w:t>
      </w:r>
      <w:r w:rsidR="009C78CC">
        <w:t xml:space="preserve"> limited opportunities for reproductive coercion</w:t>
      </w:r>
      <w:r w:rsidR="00980BBE">
        <w:t xml:space="preserve"> focussed research. </w:t>
      </w:r>
      <w:r>
        <w:t xml:space="preserve">Due to the nature of qualitative research, future progress will require substantial resourcing. </w:t>
      </w:r>
      <w:r w:rsidR="00980BBE">
        <w:t xml:space="preserve">Reproductive coercion must be included in the Second National Plan to </w:t>
      </w:r>
      <w:r w:rsidR="00164776">
        <w:t>Reduce</w:t>
      </w:r>
      <w:r w:rsidR="00980BBE">
        <w:t xml:space="preserve"> Violence Against Women and their Children to increase incentives for research</w:t>
      </w:r>
      <w:r>
        <w:t xml:space="preserve"> investment.</w:t>
      </w:r>
    </w:p>
    <w:p w14:paraId="0286908E" w14:textId="56201521" w:rsidR="00581A5E" w:rsidRPr="00331F71" w:rsidRDefault="00581A5E" w:rsidP="00D0581F">
      <w:pPr>
        <w:rPr>
          <w:b/>
          <w:sz w:val="28"/>
          <w:szCs w:val="28"/>
        </w:rPr>
      </w:pPr>
      <w:r w:rsidRPr="00331F71">
        <w:rPr>
          <w:b/>
          <w:sz w:val="28"/>
          <w:szCs w:val="28"/>
        </w:rPr>
        <w:t xml:space="preserve">Determining the </w:t>
      </w:r>
      <w:r w:rsidR="00AF39E7">
        <w:rPr>
          <w:b/>
          <w:sz w:val="28"/>
          <w:szCs w:val="28"/>
        </w:rPr>
        <w:t>p</w:t>
      </w:r>
      <w:r w:rsidRPr="00331F71">
        <w:rPr>
          <w:b/>
          <w:sz w:val="28"/>
          <w:szCs w:val="28"/>
        </w:rPr>
        <w:t xml:space="preserve">revalence of </w:t>
      </w:r>
      <w:r w:rsidR="00AF39E7">
        <w:rPr>
          <w:b/>
          <w:sz w:val="28"/>
          <w:szCs w:val="28"/>
        </w:rPr>
        <w:t>reproductive coercion</w:t>
      </w:r>
    </w:p>
    <w:p w14:paraId="7F6443DD" w14:textId="06BBBC44" w:rsidR="00581A5E" w:rsidRDefault="00581A5E" w:rsidP="00D0581F">
      <w:r w:rsidRPr="00A618BE">
        <w:t xml:space="preserve">As highlighted in </w:t>
      </w:r>
      <w:proofErr w:type="gramStart"/>
      <w:r w:rsidRPr="00A618BE">
        <w:t>a number of</w:t>
      </w:r>
      <w:proofErr w:type="gramEnd"/>
      <w:r w:rsidRPr="00A618BE">
        <w:t xml:space="preserve"> submissions, there is currently no data on the</w:t>
      </w:r>
      <w:r>
        <w:t xml:space="preserve"> prevalence of </w:t>
      </w:r>
      <w:r w:rsidR="00AF39E7">
        <w:t>r</w:t>
      </w:r>
      <w:r w:rsidR="00AF39E7" w:rsidRPr="00A618BE">
        <w:t xml:space="preserve">eproductive </w:t>
      </w:r>
      <w:r w:rsidR="00AF39E7">
        <w:t>c</w:t>
      </w:r>
      <w:r w:rsidR="00AF39E7" w:rsidRPr="00A618BE">
        <w:t>oercion</w:t>
      </w:r>
      <w:r w:rsidR="00AF39E7">
        <w:t xml:space="preserve"> </w:t>
      </w:r>
      <w:r>
        <w:t xml:space="preserve">in Australia. </w:t>
      </w:r>
      <w:r w:rsidRPr="00A618BE">
        <w:t>The ABS Personal Safety Survey provides an ideal means by which to gather this important information</w:t>
      </w:r>
      <w:r>
        <w:t xml:space="preserve">. </w:t>
      </w:r>
      <w:r w:rsidRPr="00A618BE">
        <w:t xml:space="preserve">Quantifying the prevalence of </w:t>
      </w:r>
      <w:r w:rsidR="00AF39E7">
        <w:t>r</w:t>
      </w:r>
      <w:r w:rsidR="00AF39E7" w:rsidRPr="00A618BE">
        <w:t xml:space="preserve">eproductive </w:t>
      </w:r>
      <w:r w:rsidR="00AF39E7">
        <w:t>c</w:t>
      </w:r>
      <w:r w:rsidR="00AF39E7" w:rsidRPr="00A618BE">
        <w:t>oercion</w:t>
      </w:r>
      <w:r w:rsidR="00AF39E7">
        <w:t xml:space="preserve"> </w:t>
      </w:r>
      <w:r w:rsidRPr="00A618BE">
        <w:t xml:space="preserve">on a national level will help to shed light on </w:t>
      </w:r>
      <w:r w:rsidR="00AF39E7">
        <w:t>r</w:t>
      </w:r>
      <w:r w:rsidR="00AF39E7" w:rsidRPr="00A618BE">
        <w:t xml:space="preserve">eproductive </w:t>
      </w:r>
      <w:r w:rsidR="00AF39E7">
        <w:t>c</w:t>
      </w:r>
      <w:r w:rsidR="00AF39E7" w:rsidRPr="00A618BE">
        <w:t>oercion</w:t>
      </w:r>
      <w:r w:rsidR="00AF39E7">
        <w:t xml:space="preserve"> </w:t>
      </w:r>
      <w:r w:rsidRPr="00A618BE">
        <w:t>as an issue and create impetus for its consideration in the suite of research, policy and practice initiatives to address FV, IPV and SV.</w:t>
      </w:r>
    </w:p>
    <w:p w14:paraId="448C82E7" w14:textId="77777777" w:rsidR="00581A5E" w:rsidRPr="006F3A97" w:rsidRDefault="00581A5E" w:rsidP="00D0581F">
      <w:pPr>
        <w:rPr>
          <w:b/>
        </w:rPr>
      </w:pPr>
      <w:r w:rsidRPr="006F3A97">
        <w:rPr>
          <w:b/>
        </w:rPr>
        <w:t>Recommendation 2</w:t>
      </w:r>
    </w:p>
    <w:p w14:paraId="5D86AE02" w14:textId="7F7AA5DD" w:rsidR="00581A5E" w:rsidRPr="00A618BE" w:rsidRDefault="00581A5E" w:rsidP="00D0581F">
      <w:pPr>
        <w:rPr>
          <w:b/>
          <w:i/>
        </w:rPr>
      </w:pPr>
      <w:r w:rsidRPr="00A618BE">
        <w:t xml:space="preserve">That </w:t>
      </w:r>
      <w:r w:rsidR="00AF39E7">
        <w:t>r</w:t>
      </w:r>
      <w:r w:rsidR="00AF39E7" w:rsidRPr="00A618BE">
        <w:t xml:space="preserve">eproductive </w:t>
      </w:r>
      <w:r w:rsidR="00AF39E7">
        <w:t>c</w:t>
      </w:r>
      <w:r w:rsidR="00AF39E7" w:rsidRPr="00A618BE">
        <w:t>oercion</w:t>
      </w:r>
      <w:r w:rsidR="00AF39E7">
        <w:t xml:space="preserve"> </w:t>
      </w:r>
      <w:r w:rsidRPr="00A618BE">
        <w:t xml:space="preserve">questions be included as part of the ABS Personal Safety Survey </w:t>
      </w:r>
      <w:proofErr w:type="gramStart"/>
      <w:r w:rsidRPr="00A618BE">
        <w:t>in order to</w:t>
      </w:r>
      <w:proofErr w:type="gramEnd"/>
      <w:r w:rsidRPr="00A618BE">
        <w:t xml:space="preserve"> gain a national picture of the prevalence of </w:t>
      </w:r>
      <w:r w:rsidR="00AF39E7">
        <w:t>r</w:t>
      </w:r>
      <w:r w:rsidR="00AF39E7" w:rsidRPr="00A618BE">
        <w:t xml:space="preserve">eproductive </w:t>
      </w:r>
      <w:r w:rsidR="00AF39E7">
        <w:t>c</w:t>
      </w:r>
      <w:r w:rsidR="00AF39E7" w:rsidRPr="00A618BE">
        <w:t>oercion</w:t>
      </w:r>
      <w:r w:rsidRPr="00A618BE">
        <w:t>. Such questions could focus on:</w:t>
      </w:r>
    </w:p>
    <w:p w14:paraId="12CE779E" w14:textId="57036517" w:rsidR="00581A5E" w:rsidRPr="00A618BE" w:rsidRDefault="00031CAA" w:rsidP="00D0581F">
      <w:pPr>
        <w:pStyle w:val="ListParagraph"/>
        <w:numPr>
          <w:ilvl w:val="1"/>
          <w:numId w:val="34"/>
        </w:numPr>
        <w:spacing w:before="240" w:after="240"/>
        <w:rPr>
          <w:b/>
          <w:i/>
        </w:rPr>
      </w:pPr>
      <w:r>
        <w:t>c</w:t>
      </w:r>
      <w:r w:rsidR="00581A5E" w:rsidRPr="00A618BE">
        <w:t>ontraception control/and or sabotage</w:t>
      </w:r>
    </w:p>
    <w:p w14:paraId="15CFA9AA" w14:textId="4E20AFC1" w:rsidR="00581A5E" w:rsidRPr="00A618BE" w:rsidRDefault="00031CAA" w:rsidP="00D0581F">
      <w:pPr>
        <w:pStyle w:val="ListParagraph"/>
        <w:numPr>
          <w:ilvl w:val="1"/>
          <w:numId w:val="34"/>
        </w:numPr>
        <w:spacing w:before="240" w:after="240"/>
        <w:rPr>
          <w:b/>
          <w:i/>
        </w:rPr>
      </w:pPr>
      <w:r>
        <w:t>f</w:t>
      </w:r>
      <w:r w:rsidR="00581A5E" w:rsidRPr="00A618BE">
        <w:t>orced abortion and pregnancy.</w:t>
      </w:r>
    </w:p>
    <w:p w14:paraId="0ABC8ABE" w14:textId="77777777" w:rsidR="00031CAA" w:rsidRDefault="00581A5E" w:rsidP="00D0581F">
      <w:r w:rsidRPr="00A618BE">
        <w:t xml:space="preserve">Research from North America indicates that individuals attending clinics that provide abortions report higher prevalence of </w:t>
      </w:r>
      <w:r w:rsidR="00AF39E7">
        <w:t xml:space="preserve">reproductive coercion </w:t>
      </w:r>
      <w:r w:rsidRPr="00A618BE">
        <w:t>and IPV</w:t>
      </w:r>
      <w:r w:rsidR="00836472">
        <w:t>.</w:t>
      </w:r>
      <w:r w:rsidRPr="00A618BE">
        <w:rPr>
          <w:rStyle w:val="EndnoteReference"/>
        </w:rPr>
        <w:endnoteReference w:id="208"/>
      </w:r>
      <w:r>
        <w:t xml:space="preserve"> </w:t>
      </w:r>
    </w:p>
    <w:p w14:paraId="5AAC9A40" w14:textId="384A055D" w:rsidR="00581A5E" w:rsidRDefault="00581A5E" w:rsidP="00D0581F">
      <w:r w:rsidRPr="00A618BE">
        <w:lastRenderedPageBreak/>
        <w:t>Currently</w:t>
      </w:r>
      <w:r w:rsidR="6CB54158" w:rsidRPr="00A618BE">
        <w:t>,</w:t>
      </w:r>
      <w:r w:rsidRPr="00A618BE">
        <w:t xml:space="preserve"> there is no clear national data set for induced abortion procedures in Australia</w:t>
      </w:r>
      <w:r w:rsidR="00836472">
        <w:t>.</w:t>
      </w:r>
      <w:r w:rsidRPr="00A618BE">
        <w:rPr>
          <w:rStyle w:val="EndnoteReference"/>
        </w:rPr>
        <w:endnoteReference w:id="209"/>
      </w:r>
      <w:r>
        <w:t xml:space="preserve"> </w:t>
      </w:r>
      <w:r w:rsidRPr="00A618BE">
        <w:t xml:space="preserve">Given the intersection of unplanned pregnancy, abortion services and </w:t>
      </w:r>
      <w:r w:rsidR="00D771BE">
        <w:t>reproductive coercion</w:t>
      </w:r>
      <w:r w:rsidRPr="00A618BE">
        <w:t xml:space="preserve">, gaining an understanding of the number of induced abortions across Australia will be useful in exploring the prevalence of </w:t>
      </w:r>
      <w:r w:rsidR="00AF39E7">
        <w:t>reproductive coercion</w:t>
      </w:r>
      <w:r w:rsidRPr="00A618BE">
        <w:t xml:space="preserve">. </w:t>
      </w:r>
    </w:p>
    <w:p w14:paraId="55D326F0" w14:textId="67191CFF" w:rsidR="00980BBE" w:rsidRDefault="00980BBE" w:rsidP="00D0581F">
      <w:pPr>
        <w:rPr>
          <w:b/>
        </w:rPr>
      </w:pPr>
      <w:r>
        <w:rPr>
          <w:b/>
        </w:rPr>
        <w:t>Progress on prevalence mapping</w:t>
      </w:r>
    </w:p>
    <w:p w14:paraId="09CAB9DA" w14:textId="27A7DD16" w:rsidR="00D971E6" w:rsidRDefault="009E0867" w:rsidP="00D0581F">
      <w:r>
        <w:t xml:space="preserve">This recommendation has not been met. Our Watch has echoed the call for the ABS Personal Safety Survey to be reviewed with </w:t>
      </w:r>
      <w:r w:rsidR="282DF7E5">
        <w:t xml:space="preserve">the </w:t>
      </w:r>
      <w:r>
        <w:t>integration of reproductive coercion questions in their Tracking Progress in Prevention report.</w:t>
      </w:r>
      <w:r>
        <w:rPr>
          <w:rStyle w:val="EndnoteReference"/>
        </w:rPr>
        <w:endnoteReference w:id="210"/>
      </w:r>
      <w:r>
        <w:t xml:space="preserve"> </w:t>
      </w:r>
      <w:r w:rsidR="00ED3790">
        <w:t xml:space="preserve"> </w:t>
      </w:r>
    </w:p>
    <w:p w14:paraId="19C4A502" w14:textId="23433BC3" w:rsidR="009F449E" w:rsidRDefault="00D971E6" w:rsidP="00D0581F">
      <w:r>
        <w:t>The Natio</w:t>
      </w:r>
      <w:r w:rsidR="00ED3790">
        <w:t>nal Women's Health Strategy (2020-203</w:t>
      </w:r>
      <w:r>
        <w:t xml:space="preserve">0) has listed </w:t>
      </w:r>
      <w:r w:rsidR="2CE7B078">
        <w:t>“</w:t>
      </w:r>
      <w:r>
        <w:t>reduction in the rate of reproductive coercion</w:t>
      </w:r>
      <w:r w:rsidR="58E8AA6C">
        <w:t>”</w:t>
      </w:r>
      <w:r>
        <w:t xml:space="preserve"> as a key measure of success in addressing the health impacts of violence against women and girls.</w:t>
      </w:r>
      <w:r>
        <w:rPr>
          <w:rStyle w:val="EndnoteReference"/>
        </w:rPr>
        <w:endnoteReference w:id="211"/>
      </w:r>
      <w:r>
        <w:t xml:space="preserve">  As a key measurable, the Australian Government has committed to designing and implementing a prevalence measure over the next 10 years. </w:t>
      </w:r>
    </w:p>
    <w:p w14:paraId="50DD1C1B" w14:textId="6AD16ED7" w:rsidR="00D971E6" w:rsidRDefault="00D971E6" w:rsidP="00D0581F">
      <w:r>
        <w:t>At this stage</w:t>
      </w:r>
      <w:r w:rsidR="1EAE7D7A">
        <w:t>,</w:t>
      </w:r>
      <w:r>
        <w:t xml:space="preserve"> it is unclear as to </w:t>
      </w:r>
      <w:r w:rsidR="00D013CA">
        <w:t>what the</w:t>
      </w:r>
      <w:r w:rsidR="00E340B0">
        <w:t xml:space="preserve"> prevalence measure </w:t>
      </w:r>
      <w:r w:rsidR="00D013CA">
        <w:t>will involve</w:t>
      </w:r>
      <w:r w:rsidR="00E340B0">
        <w:t xml:space="preserve"> and </w:t>
      </w:r>
      <w:r>
        <w:t>how this will be resourced.</w:t>
      </w:r>
    </w:p>
    <w:p w14:paraId="2AA66BA2" w14:textId="77777777" w:rsidR="00581A5E" w:rsidRPr="006F3A97" w:rsidRDefault="00581A5E" w:rsidP="00D0581F">
      <w:pPr>
        <w:rPr>
          <w:b/>
        </w:rPr>
      </w:pPr>
      <w:r w:rsidRPr="006F3A97">
        <w:rPr>
          <w:b/>
        </w:rPr>
        <w:t>Recommendation 3</w:t>
      </w:r>
    </w:p>
    <w:p w14:paraId="4D7BEC49" w14:textId="77777777" w:rsidR="00581A5E" w:rsidRPr="00A618BE" w:rsidRDefault="00581A5E" w:rsidP="00D0581F">
      <w:r w:rsidRPr="00A618BE">
        <w:t>That a standard national data set for induced abortions be established. This can be achieved through:</w:t>
      </w:r>
    </w:p>
    <w:p w14:paraId="26247C78" w14:textId="111421F3" w:rsidR="00581A5E" w:rsidRDefault="00581A5E" w:rsidP="00D0581F">
      <w:pPr>
        <w:pStyle w:val="ListParagraph"/>
        <w:numPr>
          <w:ilvl w:val="0"/>
          <w:numId w:val="35"/>
        </w:numPr>
        <w:spacing w:before="240" w:after="240"/>
      </w:pPr>
      <w:r w:rsidRPr="00A618BE">
        <w:t xml:space="preserve">Review of induced abortion coding in the </w:t>
      </w:r>
      <w:r w:rsidR="00031CAA">
        <w:t xml:space="preserve">WHO ICD. </w:t>
      </w:r>
      <w:r w:rsidRPr="00A618BE">
        <w:t>ICD coding is used in the Australian healthcare system to code procedures and interventions and is therefore important from an epidemiological perspective in understanding the prevalence of induced abortions in Australia.</w:t>
      </w:r>
    </w:p>
    <w:p w14:paraId="79CC662B" w14:textId="11FD777F" w:rsidR="009E0867" w:rsidRPr="00BE4A29" w:rsidRDefault="009E0867" w:rsidP="00D0581F">
      <w:pPr>
        <w:spacing w:before="240" w:after="240"/>
        <w:rPr>
          <w:b/>
        </w:rPr>
      </w:pPr>
      <w:r w:rsidRPr="00BE4A29">
        <w:rPr>
          <w:b/>
        </w:rPr>
        <w:t>Progress on ICD coding amendments</w:t>
      </w:r>
    </w:p>
    <w:p w14:paraId="14D57A6C" w14:textId="77777777" w:rsidR="00E428EE" w:rsidRDefault="00424006" w:rsidP="00D0581F">
      <w:pPr>
        <w:spacing w:before="240" w:after="240"/>
      </w:pPr>
      <w:r>
        <w:t xml:space="preserve">This recommendation has not been met. </w:t>
      </w:r>
      <w:r w:rsidR="009E0867">
        <w:t>Due to the timing of ICD coding reviews, there have been no opportunities to advance this over the past two years.</w:t>
      </w:r>
      <w:r w:rsidR="00E428EE">
        <w:t xml:space="preserve"> The current ICD-11 was published in early 2019 and will come into effect in 2022. </w:t>
      </w:r>
    </w:p>
    <w:p w14:paraId="43DE02E7" w14:textId="0A171F60" w:rsidR="009E0867" w:rsidRPr="00A618BE" w:rsidRDefault="00E428EE" w:rsidP="00D0581F">
      <w:pPr>
        <w:spacing w:before="240" w:after="240"/>
      </w:pPr>
      <w:r>
        <w:t xml:space="preserve">ICD-12 will be the next opportunity for coding review, during which Australian members of the ICD Review Steering Group should be encouraged and supported to </w:t>
      </w:r>
      <w:r w:rsidR="00DA6EB0">
        <w:t>open dialogue on</w:t>
      </w:r>
      <w:r>
        <w:t xml:space="preserve"> sexual and reproductive health reforms.</w:t>
      </w:r>
    </w:p>
    <w:p w14:paraId="60C7DA2A" w14:textId="294BB95B" w:rsidR="00581A5E" w:rsidRPr="00331F71" w:rsidRDefault="00581A5E" w:rsidP="00D0581F">
      <w:pPr>
        <w:rPr>
          <w:b/>
          <w:sz w:val="28"/>
          <w:szCs w:val="28"/>
        </w:rPr>
      </w:pPr>
      <w:r w:rsidRPr="00331F71">
        <w:rPr>
          <w:b/>
          <w:sz w:val="28"/>
          <w:szCs w:val="28"/>
        </w:rPr>
        <w:t xml:space="preserve">Exploration of </w:t>
      </w:r>
      <w:r w:rsidR="00AF39E7">
        <w:rPr>
          <w:b/>
          <w:sz w:val="28"/>
          <w:szCs w:val="28"/>
        </w:rPr>
        <w:t>reproductive coercion</w:t>
      </w:r>
      <w:r w:rsidR="00AF39E7" w:rsidRPr="00331F71">
        <w:rPr>
          <w:b/>
          <w:sz w:val="28"/>
          <w:szCs w:val="28"/>
        </w:rPr>
        <w:t xml:space="preserve"> </w:t>
      </w:r>
      <w:r w:rsidRPr="00331F71">
        <w:rPr>
          <w:b/>
          <w:sz w:val="28"/>
          <w:szCs w:val="28"/>
        </w:rPr>
        <w:t xml:space="preserve">as an </w:t>
      </w:r>
      <w:r w:rsidR="00AF39E7">
        <w:rPr>
          <w:b/>
          <w:sz w:val="28"/>
          <w:szCs w:val="28"/>
        </w:rPr>
        <w:t>e</w:t>
      </w:r>
      <w:r w:rsidRPr="00331F71">
        <w:rPr>
          <w:b/>
          <w:sz w:val="28"/>
          <w:szCs w:val="28"/>
        </w:rPr>
        <w:t xml:space="preserve">arly </w:t>
      </w:r>
      <w:r w:rsidR="00AF39E7">
        <w:rPr>
          <w:b/>
          <w:sz w:val="28"/>
          <w:szCs w:val="28"/>
        </w:rPr>
        <w:t>i</w:t>
      </w:r>
      <w:r w:rsidRPr="00331F71">
        <w:rPr>
          <w:b/>
          <w:sz w:val="28"/>
          <w:szCs w:val="28"/>
        </w:rPr>
        <w:t xml:space="preserve">ndicator of </w:t>
      </w:r>
      <w:r w:rsidR="00AF39E7">
        <w:rPr>
          <w:b/>
          <w:sz w:val="28"/>
          <w:szCs w:val="28"/>
        </w:rPr>
        <w:t>e</w:t>
      </w:r>
      <w:r w:rsidRPr="00331F71">
        <w:rPr>
          <w:b/>
          <w:sz w:val="28"/>
          <w:szCs w:val="28"/>
        </w:rPr>
        <w:t xml:space="preserve">scalation of </w:t>
      </w:r>
      <w:r w:rsidR="00AF39E7">
        <w:rPr>
          <w:b/>
          <w:sz w:val="28"/>
          <w:szCs w:val="28"/>
        </w:rPr>
        <w:t>v</w:t>
      </w:r>
      <w:r w:rsidRPr="00331F71">
        <w:rPr>
          <w:b/>
          <w:sz w:val="28"/>
          <w:szCs w:val="28"/>
        </w:rPr>
        <w:t>iolence</w:t>
      </w:r>
    </w:p>
    <w:p w14:paraId="6E095D8A" w14:textId="5912AE60" w:rsidR="00581A5E" w:rsidRPr="00A618BE" w:rsidRDefault="00AF39E7" w:rsidP="00D0581F">
      <w:r>
        <w:t>R</w:t>
      </w:r>
      <w:r w:rsidRPr="00A618BE">
        <w:t xml:space="preserve">eproductive </w:t>
      </w:r>
      <w:r>
        <w:t>c</w:t>
      </w:r>
      <w:r w:rsidRPr="00A618BE">
        <w:t>oercion</w:t>
      </w:r>
      <w:r>
        <w:t xml:space="preserve"> </w:t>
      </w:r>
      <w:r w:rsidR="00581A5E" w:rsidRPr="00A618BE">
        <w:t>may be an early indicator or marker of escalation of IPV</w:t>
      </w:r>
      <w:r w:rsidR="00581A5E" w:rsidRPr="00A618BE">
        <w:rPr>
          <w:rStyle w:val="EndnoteReference"/>
        </w:rPr>
        <w:endnoteReference w:id="212"/>
      </w:r>
      <w:r w:rsidR="00581A5E" w:rsidRPr="00A618BE">
        <w:t xml:space="preserve"> and this link should be further explored </w:t>
      </w:r>
      <w:proofErr w:type="gramStart"/>
      <w:r w:rsidR="00581A5E" w:rsidRPr="00A618BE">
        <w:t>in order to</w:t>
      </w:r>
      <w:proofErr w:type="gramEnd"/>
      <w:r w:rsidR="00581A5E" w:rsidRPr="00A618BE">
        <w:t xml:space="preserve"> improve early warning and responses to IPV. Behaviours such as contraceptive sabotage may be an important aspect to consider in FV, IPV and SV risk assessment to decrease the risk of fatalities. </w:t>
      </w:r>
    </w:p>
    <w:p w14:paraId="379FBF72" w14:textId="77777777" w:rsidR="00031CAA" w:rsidRDefault="00031CAA" w:rsidP="00D0581F">
      <w:pPr>
        <w:rPr>
          <w:b/>
        </w:rPr>
      </w:pPr>
    </w:p>
    <w:p w14:paraId="5174897B" w14:textId="77777777" w:rsidR="00A8059E" w:rsidRDefault="00A8059E" w:rsidP="00D0581F">
      <w:pPr>
        <w:rPr>
          <w:b/>
        </w:rPr>
      </w:pPr>
    </w:p>
    <w:p w14:paraId="785660A1" w14:textId="2310AAC8" w:rsidR="00581A5E" w:rsidRPr="006F3A97" w:rsidRDefault="00581A5E" w:rsidP="00D0581F">
      <w:pPr>
        <w:rPr>
          <w:b/>
        </w:rPr>
      </w:pPr>
      <w:r w:rsidRPr="006F3A97">
        <w:rPr>
          <w:b/>
        </w:rPr>
        <w:lastRenderedPageBreak/>
        <w:t>Recommendation 4</w:t>
      </w:r>
    </w:p>
    <w:p w14:paraId="24C5F71A" w14:textId="3CB87C4E" w:rsidR="00581A5E" w:rsidRPr="00A618BE" w:rsidRDefault="00581A5E" w:rsidP="00D0581F">
      <w:r w:rsidRPr="00A618BE">
        <w:t xml:space="preserve">That </w:t>
      </w:r>
      <w:r w:rsidR="00AF39E7">
        <w:t>r</w:t>
      </w:r>
      <w:r w:rsidR="00AF39E7" w:rsidRPr="00A618BE">
        <w:t xml:space="preserve">eproductive </w:t>
      </w:r>
      <w:r w:rsidR="00AF39E7">
        <w:t>c</w:t>
      </w:r>
      <w:r w:rsidR="00AF39E7" w:rsidRPr="00A618BE">
        <w:t>oercion</w:t>
      </w:r>
      <w:r w:rsidR="00AF39E7">
        <w:t xml:space="preserve"> </w:t>
      </w:r>
      <w:r w:rsidRPr="00A618BE">
        <w:t>is explored as an early warning indicator of escalation of violence in risk assessment tools for IPV, FV and SV:</w:t>
      </w:r>
    </w:p>
    <w:p w14:paraId="59A5689A" w14:textId="0C85979A" w:rsidR="00581A5E" w:rsidRDefault="00581A5E" w:rsidP="00D0581F">
      <w:pPr>
        <w:pStyle w:val="ListParagraph"/>
        <w:numPr>
          <w:ilvl w:val="0"/>
          <w:numId w:val="34"/>
        </w:numPr>
        <w:spacing w:before="240" w:after="240"/>
      </w:pPr>
      <w:r w:rsidRPr="00A618BE">
        <w:t xml:space="preserve">This exploration can take the form of a pilot study on the effectiveness of including identification of </w:t>
      </w:r>
      <w:r w:rsidR="00AF39E7">
        <w:t>r</w:t>
      </w:r>
      <w:r w:rsidR="00AF39E7" w:rsidRPr="00A618BE">
        <w:t xml:space="preserve">eproductive </w:t>
      </w:r>
      <w:r w:rsidR="00AF39E7">
        <w:t>c</w:t>
      </w:r>
      <w:r w:rsidR="00AF39E7" w:rsidRPr="00A618BE">
        <w:t>oercion</w:t>
      </w:r>
      <w:r w:rsidR="00AF39E7">
        <w:t xml:space="preserve"> </w:t>
      </w:r>
      <w:r w:rsidRPr="00A618BE">
        <w:t xml:space="preserve">as part of an existing FV, IPV or SV risk assessment tool. </w:t>
      </w:r>
    </w:p>
    <w:p w14:paraId="0492019A" w14:textId="092C9B45" w:rsidR="00181D7D" w:rsidRPr="00BE4A29" w:rsidRDefault="00181D7D" w:rsidP="00D0581F">
      <w:pPr>
        <w:spacing w:before="240" w:after="240"/>
        <w:rPr>
          <w:b/>
        </w:rPr>
      </w:pPr>
      <w:r w:rsidRPr="00BE4A29">
        <w:rPr>
          <w:b/>
        </w:rPr>
        <w:t>Progress on research into reproductive coercion and escalation of violence</w:t>
      </w:r>
    </w:p>
    <w:p w14:paraId="3C9C997C" w14:textId="49E885DA" w:rsidR="00181D7D" w:rsidRPr="00A618BE" w:rsidRDefault="00181D7D" w:rsidP="00D0581F">
      <w:pPr>
        <w:spacing w:before="240" w:after="240"/>
      </w:pPr>
      <w:r>
        <w:t>This recommendation has not been met. Reproductive coercion is increasingly recognised as a possible early indicator of escalation of violence</w:t>
      </w:r>
      <w:r w:rsidR="00BA2B2B">
        <w:t>,</w:t>
      </w:r>
      <w:r w:rsidR="00ED3790">
        <w:t xml:space="preserve"> </w:t>
      </w:r>
      <w:r>
        <w:t>however there is yet to be investment in research in this space.</w:t>
      </w:r>
      <w:r w:rsidR="00BA2B2B">
        <w:rPr>
          <w:rStyle w:val="EndnoteReference"/>
        </w:rPr>
        <w:endnoteReference w:id="213"/>
      </w:r>
    </w:p>
    <w:p w14:paraId="39AAB2B7" w14:textId="528E041C" w:rsidR="00581A5E" w:rsidRPr="00331F71" w:rsidRDefault="00581A5E" w:rsidP="00D0581F">
      <w:pPr>
        <w:pStyle w:val="Heading2"/>
      </w:pPr>
      <w:bookmarkStart w:id="136" w:name="_Toc57368607"/>
      <w:r w:rsidRPr="00331F71">
        <w:t>Policy</w:t>
      </w:r>
      <w:r w:rsidR="00D771BE" w:rsidRPr="00D771BE">
        <w:t xml:space="preserve"> </w:t>
      </w:r>
      <w:r w:rsidR="00D771BE">
        <w:t>r</w:t>
      </w:r>
      <w:r w:rsidR="00D771BE" w:rsidRPr="00D771BE">
        <w:t>ecommendations</w:t>
      </w:r>
      <w:bookmarkEnd w:id="136"/>
    </w:p>
    <w:p w14:paraId="6496D6FE" w14:textId="45317D16" w:rsidR="00581A5E" w:rsidRPr="00331F71" w:rsidRDefault="00581A5E" w:rsidP="00D0581F">
      <w:pPr>
        <w:rPr>
          <w:b/>
          <w:sz w:val="28"/>
          <w:szCs w:val="28"/>
        </w:rPr>
      </w:pPr>
      <w:r w:rsidRPr="00331F71">
        <w:rPr>
          <w:b/>
          <w:sz w:val="28"/>
          <w:szCs w:val="28"/>
        </w:rPr>
        <w:t xml:space="preserve">Embedding </w:t>
      </w:r>
      <w:r w:rsidR="00AF39E7">
        <w:rPr>
          <w:b/>
          <w:sz w:val="28"/>
          <w:szCs w:val="28"/>
        </w:rPr>
        <w:t>reproductive coercion</w:t>
      </w:r>
      <w:r w:rsidR="00AF39E7" w:rsidRPr="00331F71">
        <w:rPr>
          <w:b/>
          <w:sz w:val="28"/>
          <w:szCs w:val="28"/>
        </w:rPr>
        <w:t xml:space="preserve"> </w:t>
      </w:r>
      <w:r w:rsidRPr="00331F71">
        <w:rPr>
          <w:b/>
          <w:sz w:val="28"/>
          <w:szCs w:val="28"/>
        </w:rPr>
        <w:t>in FV, IPV and SV Policy</w:t>
      </w:r>
    </w:p>
    <w:p w14:paraId="09C2B72D" w14:textId="72F4B258" w:rsidR="00581A5E" w:rsidRPr="00A618BE" w:rsidRDefault="00581A5E" w:rsidP="00D0581F">
      <w:r w:rsidRPr="00A618BE">
        <w:t xml:space="preserve">There are </w:t>
      </w:r>
      <w:proofErr w:type="gramStart"/>
      <w:r w:rsidRPr="00A618BE">
        <w:t>a number of</w:t>
      </w:r>
      <w:proofErr w:type="gramEnd"/>
      <w:r w:rsidRPr="00A618BE">
        <w:t xml:space="preserve"> policy initiatives that respond to FV, IPV and SV, including the </w:t>
      </w:r>
      <w:r w:rsidRPr="00BE4A29">
        <w:t>National Plan to Reduce Violence Against Women and Their Children</w:t>
      </w:r>
      <w:r w:rsidRPr="00AF39E7">
        <w:t>.</w:t>
      </w:r>
      <w:r w:rsidRPr="00A618BE">
        <w:t xml:space="preserve"> Given the close links between FV, IPV, SV and </w:t>
      </w:r>
      <w:r w:rsidR="00181D7D">
        <w:t>sexual and reproductive health</w:t>
      </w:r>
      <w:r w:rsidRPr="00A618BE">
        <w:t xml:space="preserve">, </w:t>
      </w:r>
      <w:r w:rsidR="00AF39E7">
        <w:t>r</w:t>
      </w:r>
      <w:r w:rsidR="00AF39E7" w:rsidRPr="00A618BE">
        <w:t xml:space="preserve">eproductive </w:t>
      </w:r>
      <w:r w:rsidR="00AF39E7">
        <w:t>c</w:t>
      </w:r>
      <w:r w:rsidR="00AF39E7" w:rsidRPr="00A618BE">
        <w:t>oercion</w:t>
      </w:r>
      <w:r w:rsidR="00AF39E7">
        <w:t xml:space="preserve"> </w:t>
      </w:r>
      <w:r w:rsidRPr="00A618BE">
        <w:t>should be embedded in these policies.</w:t>
      </w:r>
    </w:p>
    <w:p w14:paraId="0DF9F837" w14:textId="77777777" w:rsidR="00581A5E" w:rsidRPr="006F3A97" w:rsidRDefault="00581A5E" w:rsidP="00D0581F">
      <w:pPr>
        <w:rPr>
          <w:b/>
        </w:rPr>
      </w:pPr>
      <w:r w:rsidRPr="006F3A97">
        <w:rPr>
          <w:b/>
        </w:rPr>
        <w:t>Recommendation 5</w:t>
      </w:r>
    </w:p>
    <w:p w14:paraId="49B418AB" w14:textId="306AD993" w:rsidR="00581A5E" w:rsidRPr="00A618BE" w:rsidRDefault="00581A5E" w:rsidP="00D0581F">
      <w:r w:rsidRPr="00A618BE">
        <w:t xml:space="preserve">That </w:t>
      </w:r>
      <w:r w:rsidR="00AF39E7">
        <w:t>r</w:t>
      </w:r>
      <w:r w:rsidR="00AF39E7" w:rsidRPr="00A618BE">
        <w:t xml:space="preserve">eproductive </w:t>
      </w:r>
      <w:r w:rsidR="00AF39E7">
        <w:t>c</w:t>
      </w:r>
      <w:r w:rsidR="00AF39E7" w:rsidRPr="00A618BE">
        <w:t>oercion</w:t>
      </w:r>
      <w:r w:rsidR="00AF39E7">
        <w:t xml:space="preserve"> </w:t>
      </w:r>
      <w:r w:rsidRPr="00A618BE">
        <w:t>be embedded in the development of FV, IPV and SV policies and action plans and included as part of the review of existing FV, IPV and SV policies and action plans including:</w:t>
      </w:r>
    </w:p>
    <w:p w14:paraId="1D2324ED" w14:textId="77777777" w:rsidR="00581A5E" w:rsidRPr="00A618BE" w:rsidRDefault="00581A5E" w:rsidP="00D0581F">
      <w:pPr>
        <w:pStyle w:val="ListParagraph"/>
        <w:numPr>
          <w:ilvl w:val="0"/>
          <w:numId w:val="34"/>
        </w:numPr>
        <w:spacing w:before="240" w:after="240"/>
      </w:pPr>
      <w:r w:rsidRPr="00A618BE">
        <w:t>The next iteration of the National Plan to Reduce Violence Against Women and Their Children.</w:t>
      </w:r>
    </w:p>
    <w:p w14:paraId="684C528A" w14:textId="77777777" w:rsidR="00581A5E" w:rsidRPr="00A618BE" w:rsidRDefault="00581A5E" w:rsidP="00D0581F">
      <w:pPr>
        <w:pStyle w:val="ListParagraph"/>
        <w:numPr>
          <w:ilvl w:val="0"/>
          <w:numId w:val="34"/>
        </w:numPr>
        <w:spacing w:before="240" w:after="240"/>
      </w:pPr>
      <w:r w:rsidRPr="00A618BE">
        <w:t xml:space="preserve">The </w:t>
      </w:r>
      <w:r w:rsidRPr="00BE4A29">
        <w:t>Women’s Health Plan</w:t>
      </w:r>
      <w:r w:rsidRPr="00A618BE">
        <w:t xml:space="preserve"> that is currently out for consultation by the Commonwealth Government</w:t>
      </w:r>
      <w:r w:rsidRPr="00A618BE">
        <w:rPr>
          <w:rStyle w:val="EndnoteReference"/>
        </w:rPr>
        <w:endnoteReference w:id="214"/>
      </w:r>
      <w:r w:rsidRPr="00A618BE">
        <w:t>.</w:t>
      </w:r>
    </w:p>
    <w:p w14:paraId="53076C0C" w14:textId="1CA457D5" w:rsidR="00581A5E" w:rsidRDefault="00581A5E" w:rsidP="00D0581F">
      <w:pPr>
        <w:pStyle w:val="ListParagraph"/>
        <w:numPr>
          <w:ilvl w:val="0"/>
          <w:numId w:val="34"/>
        </w:numPr>
        <w:spacing w:before="240" w:after="240"/>
      </w:pPr>
      <w:r w:rsidRPr="00A618BE">
        <w:t xml:space="preserve">Any reviews or policy development for FV, IPV and SV across all state and territory jurisdictions. </w:t>
      </w:r>
    </w:p>
    <w:p w14:paraId="67CA476A" w14:textId="36842A7F" w:rsidR="00D971E6" w:rsidRPr="00BE4A29" w:rsidRDefault="00D971E6" w:rsidP="00D0581F">
      <w:pPr>
        <w:spacing w:before="240" w:after="240"/>
        <w:rPr>
          <w:b/>
        </w:rPr>
      </w:pPr>
      <w:r w:rsidRPr="00BE4A29">
        <w:rPr>
          <w:b/>
        </w:rPr>
        <w:t xml:space="preserve">Progress on embedding reproductive coercion in policy </w:t>
      </w:r>
    </w:p>
    <w:p w14:paraId="075F2447" w14:textId="0E299CC5" w:rsidR="00D971E6" w:rsidRDefault="00D971E6" w:rsidP="00D0581F">
      <w:pPr>
        <w:spacing w:before="240" w:after="240"/>
      </w:pPr>
      <w:r>
        <w:t xml:space="preserve">This recommendation has been partially met. </w:t>
      </w:r>
      <w:r w:rsidR="00710AC4">
        <w:t>Natio</w:t>
      </w:r>
      <w:r w:rsidR="00415450">
        <w:t>nal Women's Health Strategy (2020-203</w:t>
      </w:r>
      <w:r w:rsidR="00710AC4">
        <w:t>0) has platformed reproductive coercion a key measure of success in addressing the health impacts of violence against women and girls.</w:t>
      </w:r>
      <w:r w:rsidR="00710AC4">
        <w:rPr>
          <w:rStyle w:val="EndnoteReference"/>
        </w:rPr>
        <w:endnoteReference w:id="215"/>
      </w:r>
      <w:r w:rsidR="00710AC4">
        <w:t xml:space="preserve">  </w:t>
      </w:r>
      <w:r w:rsidR="00515FEC">
        <w:t>‘Priority area 5 – Health impacts of violence against women  and girls’ proposes a series of interlinked priorities and actions.</w:t>
      </w:r>
    </w:p>
    <w:p w14:paraId="03E8F8E7" w14:textId="77777777" w:rsidR="00031CAA" w:rsidRDefault="00B20723" w:rsidP="00D0581F">
      <w:pPr>
        <w:spacing w:before="240" w:after="240"/>
      </w:pPr>
      <w:r>
        <w:t xml:space="preserve">The First National Plan to Reduce Violence Against Women and their Children 2010-2022 (‘the National Plan’) does not include </w:t>
      </w:r>
      <w:r w:rsidR="009D6A1F">
        <w:t>explicitly reference</w:t>
      </w:r>
      <w:r>
        <w:t xml:space="preserve"> reproductive coercion. The Fourth Action Plan of the National Plan does briefly reference and define forced sterilisation in the context of women with disability. </w:t>
      </w:r>
    </w:p>
    <w:p w14:paraId="08C2DDFA" w14:textId="0680527B" w:rsidR="00B20723" w:rsidRDefault="009D6A1F" w:rsidP="00D0581F">
      <w:pPr>
        <w:spacing w:before="240" w:after="240"/>
      </w:pPr>
      <w:r>
        <w:lastRenderedPageBreak/>
        <w:t xml:space="preserve">This </w:t>
      </w:r>
      <w:r w:rsidR="00B20723">
        <w:t>was a small yet significant acknowledgement women with disabilities’ historic</w:t>
      </w:r>
      <w:r w:rsidR="51656858">
        <w:t>al</w:t>
      </w:r>
      <w:r w:rsidR="00B20723">
        <w:t xml:space="preserve"> experiences of eugenics and ongoing experiences of discrimination and injustice.</w:t>
      </w:r>
    </w:p>
    <w:p w14:paraId="26E1A966" w14:textId="2848B7E0" w:rsidR="00DB1C3A" w:rsidRDefault="00DB1C3A" w:rsidP="00D0581F">
      <w:pPr>
        <w:spacing w:before="240" w:after="240"/>
      </w:pPr>
      <w:r>
        <w:t xml:space="preserve">State and territory policy review and policy development has largely been informed by the </w:t>
      </w:r>
      <w:r w:rsidRPr="00A618BE">
        <w:t>National Plan</w:t>
      </w:r>
      <w:r>
        <w:t xml:space="preserve">. Without </w:t>
      </w:r>
      <w:r w:rsidR="00B20723">
        <w:t xml:space="preserve">comprehensive </w:t>
      </w:r>
      <w:r>
        <w:t>reference to reproductive coercion in the National Plan, integration into various state and territory policy has been limited.</w:t>
      </w:r>
    </w:p>
    <w:p w14:paraId="3F62D12D" w14:textId="205088C4" w:rsidR="000012EA" w:rsidRDefault="00710AC4" w:rsidP="00D0581F">
      <w:pPr>
        <w:spacing w:before="240" w:after="240"/>
      </w:pPr>
      <w:r>
        <w:t>The Second</w:t>
      </w:r>
      <w:r w:rsidRPr="00710AC4">
        <w:t xml:space="preserve"> </w:t>
      </w:r>
      <w:r w:rsidRPr="00A618BE">
        <w:t>National Plan to Reduce Violence A</w:t>
      </w:r>
      <w:r>
        <w:t>gainst Women and their Children</w:t>
      </w:r>
      <w:r w:rsidR="00DB1C3A">
        <w:t xml:space="preserve"> (beyond 2022)</w:t>
      </w:r>
      <w:r>
        <w:t xml:space="preserve"> i</w:t>
      </w:r>
      <w:r w:rsidR="00DB1C3A">
        <w:t>s currently in development</w:t>
      </w:r>
      <w:r>
        <w:t xml:space="preserve"> and the inclusion of </w:t>
      </w:r>
      <w:r w:rsidR="00DB1C3A">
        <w:t>reproductive</w:t>
      </w:r>
      <w:r>
        <w:t xml:space="preserve"> coercion</w:t>
      </w:r>
      <w:r w:rsidR="00B20723">
        <w:t xml:space="preserve"> including or in addition to forced sterilisation</w:t>
      </w:r>
      <w:r>
        <w:t xml:space="preserve"> </w:t>
      </w:r>
      <w:r w:rsidR="00DB1C3A">
        <w:t>is yet to be</w:t>
      </w:r>
      <w:r>
        <w:t xml:space="preserve"> confirmed. In order to </w:t>
      </w:r>
      <w:r w:rsidR="007D61EA">
        <w:t>strengthen</w:t>
      </w:r>
      <w:r>
        <w:t xml:space="preserve"> the National Women’s Health Strategy,</w:t>
      </w:r>
      <w:r w:rsidR="007D61EA">
        <w:t xml:space="preserve"> and to formalise links between women’s health and violence against women,</w:t>
      </w:r>
      <w:r>
        <w:t xml:space="preserve"> it is essential that reproductive coercion be included in the </w:t>
      </w:r>
      <w:r w:rsidR="00DB1C3A">
        <w:t xml:space="preserve">Second </w:t>
      </w:r>
      <w:r w:rsidR="00515FEC">
        <w:t>National Plan, including alignment with the National Women’s Health Strategy.</w:t>
      </w:r>
    </w:p>
    <w:p w14:paraId="5EC8E21F" w14:textId="78DDC6BA" w:rsidR="00581A5E" w:rsidRPr="00331F71" w:rsidRDefault="00581A5E" w:rsidP="00D0581F">
      <w:pPr>
        <w:rPr>
          <w:b/>
          <w:sz w:val="28"/>
          <w:szCs w:val="28"/>
        </w:rPr>
      </w:pPr>
      <w:r w:rsidRPr="00331F71">
        <w:rPr>
          <w:b/>
          <w:sz w:val="28"/>
          <w:szCs w:val="28"/>
        </w:rPr>
        <w:t xml:space="preserve">Development of a </w:t>
      </w:r>
      <w:r w:rsidR="00AF39E7">
        <w:rPr>
          <w:b/>
          <w:sz w:val="28"/>
          <w:szCs w:val="28"/>
        </w:rPr>
        <w:t>n</w:t>
      </w:r>
      <w:r w:rsidRPr="00331F71">
        <w:rPr>
          <w:b/>
          <w:sz w:val="28"/>
          <w:szCs w:val="28"/>
        </w:rPr>
        <w:t xml:space="preserve">ational </w:t>
      </w:r>
      <w:r w:rsidR="00AF39E7">
        <w:rPr>
          <w:b/>
          <w:sz w:val="28"/>
          <w:szCs w:val="28"/>
        </w:rPr>
        <w:t>s</w:t>
      </w:r>
      <w:r w:rsidRPr="00331F71">
        <w:rPr>
          <w:b/>
          <w:sz w:val="28"/>
          <w:szCs w:val="28"/>
        </w:rPr>
        <w:t>trategy</w:t>
      </w:r>
    </w:p>
    <w:p w14:paraId="5B97B054" w14:textId="7E6BA20C" w:rsidR="00581A5E" w:rsidRPr="00A618BE" w:rsidRDefault="00581A5E" w:rsidP="00D0581F">
      <w:proofErr w:type="gramStart"/>
      <w:r w:rsidRPr="00A618BE">
        <w:t>A number of</w:t>
      </w:r>
      <w:proofErr w:type="gramEnd"/>
      <w:r w:rsidRPr="00A618BE">
        <w:t xml:space="preserve"> submissions raised the need for a national Sexual and Reproductive Health and Rights (SRHR) Strategy and international evidence suggests that implementation of a national-level SRHR Strategy has positive impacts on overall community health and wellbeing</w:t>
      </w:r>
      <w:r w:rsidRPr="00A618BE">
        <w:rPr>
          <w:rStyle w:val="EndnoteReference"/>
        </w:rPr>
        <w:endnoteReference w:id="216"/>
      </w:r>
      <w:r w:rsidRPr="00A618BE">
        <w:t>.  A national SRHR Strategy not only provides an important opportunity to better coordinate, fund and deliver sexual and reproductive health services</w:t>
      </w:r>
      <w:r w:rsidR="744C2998" w:rsidRPr="00A618BE">
        <w:t>.</w:t>
      </w:r>
      <w:r w:rsidRPr="00A618BE">
        <w:t xml:space="preserve"> </w:t>
      </w:r>
      <w:r w:rsidR="1A07D135" w:rsidRPr="00A618BE">
        <w:t>I</w:t>
      </w:r>
      <w:r w:rsidRPr="00A618BE">
        <w:t xml:space="preserve">t also provides an opportunity to address the interpersonal and structural drivers of </w:t>
      </w:r>
      <w:r w:rsidR="00AF39E7">
        <w:t>reproductive coercion</w:t>
      </w:r>
      <w:r w:rsidRPr="00A618BE">
        <w:t xml:space="preserve">. </w:t>
      </w:r>
    </w:p>
    <w:p w14:paraId="65546406" w14:textId="77777777" w:rsidR="00581A5E" w:rsidRDefault="00581A5E" w:rsidP="00D0581F">
      <w:pPr>
        <w:rPr>
          <w:b/>
        </w:rPr>
      </w:pPr>
    </w:p>
    <w:p w14:paraId="718E2E64" w14:textId="77777777" w:rsidR="00581A5E" w:rsidRPr="006F3A97" w:rsidRDefault="00581A5E" w:rsidP="00D0581F">
      <w:pPr>
        <w:rPr>
          <w:b/>
        </w:rPr>
      </w:pPr>
      <w:r w:rsidRPr="006F3A97">
        <w:rPr>
          <w:b/>
        </w:rPr>
        <w:t>Recommendation 6</w:t>
      </w:r>
    </w:p>
    <w:p w14:paraId="7696A7F6" w14:textId="36FB2A1A" w:rsidR="00581A5E" w:rsidRPr="00A618BE" w:rsidRDefault="00581A5E" w:rsidP="00D0581F">
      <w:r>
        <w:t xml:space="preserve">That a national SRHR Strategy </w:t>
      </w:r>
      <w:r w:rsidR="69CD9A21">
        <w:t>is</w:t>
      </w:r>
      <w:r>
        <w:t xml:space="preserve"> developed that addresses all aspects of sexual and reproductive health and rights, including addressing the drivers of </w:t>
      </w:r>
      <w:r w:rsidR="00AF39E7">
        <w:t xml:space="preserve">reproductive coercion </w:t>
      </w:r>
      <w:r>
        <w:t>from an interpersonal and structural perspective. Addressing these drivers as part of the SRHR Strategy includes:</w:t>
      </w:r>
    </w:p>
    <w:p w14:paraId="0CB68F77" w14:textId="75B97288" w:rsidR="00581A5E" w:rsidRPr="00A618BE" w:rsidRDefault="00BB7041" w:rsidP="00D0581F">
      <w:pPr>
        <w:pStyle w:val="ListParagraph"/>
        <w:numPr>
          <w:ilvl w:val="0"/>
          <w:numId w:val="36"/>
        </w:numPr>
        <w:spacing w:before="240" w:after="240"/>
      </w:pPr>
      <w:r>
        <w:t>p</w:t>
      </w:r>
      <w:r w:rsidR="00581A5E" w:rsidRPr="00A618BE">
        <w:t xml:space="preserve">rovision for further research into prevalence and drivers of </w:t>
      </w:r>
      <w:r w:rsidR="00AF39E7">
        <w:t>r</w:t>
      </w:r>
      <w:r w:rsidR="00AF39E7" w:rsidRPr="00A618BE">
        <w:t xml:space="preserve">eproductive </w:t>
      </w:r>
      <w:r w:rsidR="00AF39E7">
        <w:t>c</w:t>
      </w:r>
      <w:r w:rsidR="00AF39E7" w:rsidRPr="00A618BE">
        <w:t>oercion</w:t>
      </w:r>
    </w:p>
    <w:p w14:paraId="52AA8EE3" w14:textId="42220DF1" w:rsidR="00581A5E" w:rsidRPr="00A618BE" w:rsidRDefault="00BB7041" w:rsidP="00D0581F">
      <w:pPr>
        <w:pStyle w:val="ListParagraph"/>
        <w:numPr>
          <w:ilvl w:val="0"/>
          <w:numId w:val="36"/>
        </w:numPr>
        <w:spacing w:before="240" w:after="240"/>
      </w:pPr>
      <w:r>
        <w:t>p</w:t>
      </w:r>
      <w:r w:rsidR="00581A5E" w:rsidRPr="00A618BE">
        <w:t>lan for the expanded provision of sexual and reproductive health services including contraception, sexual health screening and treatment, abortion care and access to specialised S</w:t>
      </w:r>
      <w:r w:rsidR="00DA0ED3">
        <w:t>RH</w:t>
      </w:r>
      <w:r w:rsidR="00581A5E" w:rsidRPr="00A618BE">
        <w:t xml:space="preserve"> counselling. Specific attention should be paid to priority populations including low socio-economic communities, culturally and linguistically diverse communities, Aboriginal and Torres Strait Islander communities, </w:t>
      </w:r>
      <w:r w:rsidR="00647301">
        <w:t>young people</w:t>
      </w:r>
      <w:r w:rsidR="00581A5E" w:rsidRPr="00A618BE">
        <w:t xml:space="preserve">, people with a disability and their </w:t>
      </w:r>
      <w:proofErr w:type="spellStart"/>
      <w:r w:rsidR="00581A5E" w:rsidRPr="00A618BE">
        <w:t>carers</w:t>
      </w:r>
      <w:proofErr w:type="spellEnd"/>
      <w:r w:rsidR="00581A5E" w:rsidRPr="00A618BE">
        <w:t>, regional and remote communities and LGBTIQ+ communities</w:t>
      </w:r>
    </w:p>
    <w:p w14:paraId="74387F51" w14:textId="2F7DADFF" w:rsidR="00581A5E" w:rsidRPr="00A618BE" w:rsidRDefault="00BB7041" w:rsidP="00D0581F">
      <w:pPr>
        <w:pStyle w:val="ListParagraph"/>
        <w:numPr>
          <w:ilvl w:val="0"/>
          <w:numId w:val="36"/>
        </w:numPr>
        <w:spacing w:before="240" w:after="240"/>
      </w:pPr>
      <w:r>
        <w:t>t</w:t>
      </w:r>
      <w:r w:rsidR="00581A5E" w:rsidRPr="00A618BE">
        <w:t>raining for healthcare professionals in SRHR services and support</w:t>
      </w:r>
    </w:p>
    <w:p w14:paraId="367932FF" w14:textId="0388D925" w:rsidR="00581A5E" w:rsidRPr="00A618BE" w:rsidRDefault="00581A5E" w:rsidP="00D0581F">
      <w:pPr>
        <w:pStyle w:val="ListParagraph"/>
        <w:numPr>
          <w:ilvl w:val="0"/>
          <w:numId w:val="36"/>
        </w:numPr>
        <w:spacing w:before="240" w:after="240"/>
      </w:pPr>
      <w:r w:rsidRPr="00A618BE">
        <w:t>SRHR education across educational institutions (school to tertiary institutions)</w:t>
      </w:r>
    </w:p>
    <w:p w14:paraId="62A6421E" w14:textId="5CC2C37F" w:rsidR="00581A5E" w:rsidRDefault="00BB7041" w:rsidP="00D0581F">
      <w:pPr>
        <w:pStyle w:val="ListParagraph"/>
        <w:numPr>
          <w:ilvl w:val="0"/>
          <w:numId w:val="36"/>
        </w:numPr>
        <w:spacing w:before="240" w:after="240"/>
      </w:pPr>
      <w:r>
        <w:t>c</w:t>
      </w:r>
      <w:r w:rsidR="00581A5E" w:rsidRPr="00A618BE">
        <w:t xml:space="preserve">onsideration of an action plan based on research findings into prevalence and qualitative analysis of lived experiences of </w:t>
      </w:r>
      <w:r w:rsidR="00AF39E7">
        <w:t>r</w:t>
      </w:r>
      <w:r w:rsidR="00AF39E7" w:rsidRPr="00A618BE">
        <w:t xml:space="preserve">eproductive </w:t>
      </w:r>
      <w:r w:rsidR="00AF39E7">
        <w:t>c</w:t>
      </w:r>
      <w:r w:rsidR="00AF39E7" w:rsidRPr="00A618BE">
        <w:t>oercion</w:t>
      </w:r>
      <w:r w:rsidR="00581A5E" w:rsidRPr="00A618BE">
        <w:t xml:space="preserve">. </w:t>
      </w:r>
    </w:p>
    <w:p w14:paraId="510FC00D" w14:textId="3D21B7F3" w:rsidR="00DA0ED3" w:rsidRPr="00BE4A29" w:rsidRDefault="00DA0ED3" w:rsidP="00D0581F">
      <w:pPr>
        <w:spacing w:before="240" w:after="240"/>
        <w:rPr>
          <w:b/>
        </w:rPr>
      </w:pPr>
      <w:r w:rsidRPr="00BE4A29">
        <w:rPr>
          <w:b/>
        </w:rPr>
        <w:lastRenderedPageBreak/>
        <w:t xml:space="preserve">Progress on a national SRHR Strategy </w:t>
      </w:r>
    </w:p>
    <w:p w14:paraId="2E5ED224" w14:textId="77777777" w:rsidR="005B2EE0" w:rsidRPr="00A618BE" w:rsidRDefault="005B2EE0" w:rsidP="005B2EE0">
      <w:pPr>
        <w:spacing w:before="240" w:after="240"/>
      </w:pPr>
      <w:r>
        <w:t xml:space="preserve">This recommendation has not been met. In 2019 both </w:t>
      </w:r>
      <w:proofErr w:type="spellStart"/>
      <w:r>
        <w:t>Labor</w:t>
      </w:r>
      <w:proofErr w:type="spellEnd"/>
      <w:r>
        <w:t xml:space="preserve"> and the Greens parties made federal election commitments to support a National Sexual and Reproductive Health Strategy. The Morrison Government has since confirmed that a National Sexual and Reproductive Health Strategy cannot be prioritised. Australia still needs a National Sexual and Reproductive Health Strategy, particularly now that we are in a pandemic.</w:t>
      </w:r>
      <w:r>
        <w:rPr>
          <w:rStyle w:val="EndnoteReference"/>
        </w:rPr>
        <w:endnoteReference w:id="217"/>
      </w:r>
    </w:p>
    <w:p w14:paraId="1F435ECE" w14:textId="4D1F4CA5" w:rsidR="00581A5E" w:rsidRPr="00331F71" w:rsidRDefault="00581A5E" w:rsidP="00D0581F">
      <w:pPr>
        <w:pStyle w:val="Heading2"/>
      </w:pPr>
      <w:bookmarkStart w:id="137" w:name="_Toc57368608"/>
      <w:r w:rsidRPr="00331F71">
        <w:t>Practice</w:t>
      </w:r>
      <w:r w:rsidR="00D771BE">
        <w:t xml:space="preserve"> r</w:t>
      </w:r>
      <w:r w:rsidR="00D771BE" w:rsidRPr="00D771BE">
        <w:t>ecommendations</w:t>
      </w:r>
      <w:bookmarkEnd w:id="137"/>
    </w:p>
    <w:p w14:paraId="7698B982" w14:textId="795CEA27" w:rsidR="00581A5E" w:rsidRPr="00331F71" w:rsidRDefault="00581A5E" w:rsidP="00D0581F">
      <w:pPr>
        <w:rPr>
          <w:b/>
          <w:sz w:val="28"/>
          <w:szCs w:val="28"/>
        </w:rPr>
      </w:pPr>
      <w:r w:rsidRPr="00331F71">
        <w:rPr>
          <w:b/>
          <w:sz w:val="28"/>
          <w:szCs w:val="28"/>
        </w:rPr>
        <w:t xml:space="preserve">Equipping </w:t>
      </w:r>
      <w:r w:rsidR="00AF39E7">
        <w:rPr>
          <w:b/>
          <w:sz w:val="28"/>
          <w:szCs w:val="28"/>
        </w:rPr>
        <w:t>h</w:t>
      </w:r>
      <w:r w:rsidRPr="00331F71">
        <w:rPr>
          <w:b/>
          <w:sz w:val="28"/>
          <w:szCs w:val="28"/>
        </w:rPr>
        <w:t xml:space="preserve">ealthcare </w:t>
      </w:r>
      <w:r w:rsidR="00AF39E7">
        <w:rPr>
          <w:b/>
          <w:sz w:val="28"/>
          <w:szCs w:val="28"/>
        </w:rPr>
        <w:t>p</w:t>
      </w:r>
      <w:r w:rsidRPr="00331F71">
        <w:rPr>
          <w:b/>
          <w:sz w:val="28"/>
          <w:szCs w:val="28"/>
        </w:rPr>
        <w:t>rofessionals</w:t>
      </w:r>
    </w:p>
    <w:p w14:paraId="5C11A4AA" w14:textId="7C3EE994" w:rsidR="00581A5E" w:rsidRPr="00A618BE" w:rsidRDefault="00AF39E7" w:rsidP="00D0581F">
      <w:r>
        <w:t xml:space="preserve">Reproductive coercion </w:t>
      </w:r>
      <w:r w:rsidR="00581A5E">
        <w:t xml:space="preserve">is a public health issue that can impact on mental health, sexual and reproductive </w:t>
      </w:r>
      <w:proofErr w:type="gramStart"/>
      <w:r w:rsidR="00581A5E">
        <w:t>health</w:t>
      </w:r>
      <w:proofErr w:type="gramEnd"/>
      <w:r w:rsidR="00581A5E">
        <w:t xml:space="preserve"> and maternal and child health. As outlined in the submissions and the literature review, </w:t>
      </w:r>
      <w:r>
        <w:t xml:space="preserve">reproductive coercion </w:t>
      </w:r>
      <w:r w:rsidR="00581A5E">
        <w:t xml:space="preserve">can take place in the absence of physical violence. Healthcare professionals, particularly GPs, can play a key role in identifying and responding to </w:t>
      </w:r>
      <w:r>
        <w:t>reproductive coercion</w:t>
      </w:r>
      <w:r w:rsidR="00581A5E">
        <w:t xml:space="preserve">. </w:t>
      </w:r>
      <w:r w:rsidR="5654D1CE">
        <w:t>However,</w:t>
      </w:r>
      <w:r w:rsidR="00581A5E">
        <w:t xml:space="preserve"> </w:t>
      </w:r>
      <w:proofErr w:type="gramStart"/>
      <w:r w:rsidR="00581A5E">
        <w:t>in order to</w:t>
      </w:r>
      <w:proofErr w:type="gramEnd"/>
      <w:r w:rsidR="00581A5E">
        <w:t xml:space="preserve"> do so effectively, healthcare professionals require training in </w:t>
      </w:r>
      <w:r>
        <w:t xml:space="preserve">reproductive coercion </w:t>
      </w:r>
      <w:r w:rsidR="00581A5E">
        <w:t xml:space="preserve">identification, risk assessment and response. </w:t>
      </w:r>
    </w:p>
    <w:p w14:paraId="2BE6F217" w14:textId="77777777" w:rsidR="00581A5E" w:rsidRPr="006F3A97" w:rsidRDefault="00581A5E" w:rsidP="00D0581F">
      <w:pPr>
        <w:rPr>
          <w:b/>
        </w:rPr>
      </w:pPr>
      <w:r w:rsidRPr="006F3A97">
        <w:rPr>
          <w:b/>
        </w:rPr>
        <w:t>Recommendation 7</w:t>
      </w:r>
    </w:p>
    <w:p w14:paraId="55E21826" w14:textId="1493CB67" w:rsidR="00581A5E" w:rsidRPr="00A618BE" w:rsidRDefault="00581A5E" w:rsidP="00D0581F">
      <w:r w:rsidRPr="00A618BE">
        <w:t>Develop a national healthcare professional training program in collaboration with relevant Medical Colleges, University Medical Schools and SRH providers that:</w:t>
      </w:r>
    </w:p>
    <w:p w14:paraId="5DC541B2" w14:textId="778793DE" w:rsidR="00581A5E" w:rsidRPr="00A618BE" w:rsidRDefault="00BB7041" w:rsidP="00D0581F">
      <w:pPr>
        <w:pStyle w:val="ListParagraph"/>
        <w:numPr>
          <w:ilvl w:val="0"/>
          <w:numId w:val="37"/>
        </w:numPr>
        <w:spacing w:before="240" w:after="240"/>
        <w:rPr>
          <w:b/>
          <w:i/>
        </w:rPr>
      </w:pPr>
      <w:r>
        <w:t>i</w:t>
      </w:r>
      <w:r w:rsidR="00581A5E" w:rsidRPr="00A618BE">
        <w:t xml:space="preserve">ncludes an approach to </w:t>
      </w:r>
      <w:r w:rsidR="00AF39E7">
        <w:t>r</w:t>
      </w:r>
      <w:r w:rsidR="00AF39E7" w:rsidRPr="00A618BE">
        <w:t xml:space="preserve">eproductive </w:t>
      </w:r>
      <w:r w:rsidR="00AF39E7">
        <w:t>c</w:t>
      </w:r>
      <w:r w:rsidR="00AF39E7" w:rsidRPr="00A618BE">
        <w:t>oercion</w:t>
      </w:r>
      <w:r w:rsidR="00AF39E7">
        <w:t xml:space="preserve"> </w:t>
      </w:r>
      <w:r w:rsidR="00581A5E" w:rsidRPr="00A618BE">
        <w:t>risk assessment</w:t>
      </w:r>
    </w:p>
    <w:p w14:paraId="737625F9" w14:textId="27409453" w:rsidR="00581A5E" w:rsidRPr="00A618BE" w:rsidRDefault="00BB7041" w:rsidP="00D0581F">
      <w:pPr>
        <w:pStyle w:val="ListParagraph"/>
        <w:numPr>
          <w:ilvl w:val="0"/>
          <w:numId w:val="37"/>
        </w:numPr>
        <w:spacing w:before="240" w:after="240"/>
        <w:rPr>
          <w:b/>
          <w:i/>
        </w:rPr>
      </w:pPr>
      <w:r>
        <w:t>i</w:t>
      </w:r>
      <w:r w:rsidR="00581A5E" w:rsidRPr="00A618BE">
        <w:t xml:space="preserve">s developed for healthcare settings and professions that are likely to </w:t>
      </w:r>
      <w:proofErr w:type="gramStart"/>
      <w:r w:rsidR="00581A5E" w:rsidRPr="00A618BE">
        <w:t>come into contact with</w:t>
      </w:r>
      <w:proofErr w:type="gramEnd"/>
      <w:r w:rsidR="00581A5E" w:rsidRPr="00A618BE">
        <w:t xml:space="preserve"> people experiencing </w:t>
      </w:r>
      <w:r w:rsidR="00AF39E7">
        <w:t>r</w:t>
      </w:r>
      <w:r w:rsidR="00AF39E7" w:rsidRPr="00A618BE">
        <w:t xml:space="preserve">eproductive </w:t>
      </w:r>
      <w:r w:rsidR="00AF39E7">
        <w:t>c</w:t>
      </w:r>
      <w:r w:rsidR="00AF39E7" w:rsidRPr="00A618BE">
        <w:t>oercion</w:t>
      </w:r>
      <w:r w:rsidR="00581A5E" w:rsidRPr="00A618BE">
        <w:t>. These include obstetrics and gynaecology settings, GPs, abortion and contraception care providers, maternal and child health settings</w:t>
      </w:r>
    </w:p>
    <w:p w14:paraId="169BB945" w14:textId="7387048C" w:rsidR="00581A5E" w:rsidRPr="00A618BE" w:rsidRDefault="00BB7041" w:rsidP="00D0581F">
      <w:pPr>
        <w:pStyle w:val="ListParagraph"/>
        <w:numPr>
          <w:ilvl w:val="0"/>
          <w:numId w:val="37"/>
        </w:numPr>
        <w:spacing w:before="240" w:after="240"/>
        <w:rPr>
          <w:b/>
          <w:i/>
        </w:rPr>
      </w:pPr>
      <w:r>
        <w:t>t</w:t>
      </w:r>
      <w:r w:rsidR="00581A5E" w:rsidRPr="00A618BE">
        <w:t xml:space="preserve">eaches a trauma-informed approach to </w:t>
      </w:r>
      <w:r w:rsidR="00194CC8">
        <w:t>r</w:t>
      </w:r>
      <w:r w:rsidR="00194CC8" w:rsidRPr="00A618BE">
        <w:t xml:space="preserve">eproductive </w:t>
      </w:r>
      <w:r w:rsidR="00194CC8">
        <w:t>c</w:t>
      </w:r>
      <w:r w:rsidR="00194CC8" w:rsidRPr="00A618BE">
        <w:t>oercion</w:t>
      </w:r>
      <w:r w:rsidR="00194CC8">
        <w:t xml:space="preserve"> </w:t>
      </w:r>
      <w:r w:rsidR="00581A5E" w:rsidRPr="00A618BE">
        <w:t>response</w:t>
      </w:r>
    </w:p>
    <w:p w14:paraId="6F1F50A0" w14:textId="1DC66B3E" w:rsidR="00581A5E" w:rsidRPr="00A618BE" w:rsidRDefault="00BB7041" w:rsidP="00D0581F">
      <w:pPr>
        <w:pStyle w:val="ListParagraph"/>
        <w:numPr>
          <w:ilvl w:val="0"/>
          <w:numId w:val="37"/>
        </w:numPr>
        <w:spacing w:before="240" w:after="240"/>
        <w:rPr>
          <w:b/>
          <w:i/>
        </w:rPr>
      </w:pPr>
      <w:r>
        <w:t>p</w:t>
      </w:r>
      <w:r w:rsidR="00581A5E" w:rsidRPr="00A618BE">
        <w:t xml:space="preserve">rovides Continuing Professional Development (CPD) points </w:t>
      </w:r>
      <w:proofErr w:type="gramStart"/>
      <w:r w:rsidR="00581A5E" w:rsidRPr="00A618BE">
        <w:t>so as to</w:t>
      </w:r>
      <w:proofErr w:type="gramEnd"/>
      <w:r w:rsidR="00581A5E" w:rsidRPr="00A618BE">
        <w:t xml:space="preserve"> create an incentive for healthcare professionals to undertake the training</w:t>
      </w:r>
    </w:p>
    <w:p w14:paraId="1F64EBAF" w14:textId="393313B3" w:rsidR="00581A5E" w:rsidRPr="00BE4A29" w:rsidRDefault="00BB7041" w:rsidP="00D0581F">
      <w:pPr>
        <w:pStyle w:val="ListParagraph"/>
        <w:numPr>
          <w:ilvl w:val="0"/>
          <w:numId w:val="37"/>
        </w:numPr>
        <w:spacing w:before="240" w:after="240"/>
        <w:rPr>
          <w:b/>
          <w:bCs/>
          <w:i/>
          <w:iCs/>
        </w:rPr>
      </w:pPr>
      <w:r>
        <w:t>p</w:t>
      </w:r>
      <w:r w:rsidR="00581A5E">
        <w:t xml:space="preserve">rovides a network function for healthcare professionals to share de-identified knowledge and expertise among peers in a safe and confidential manner. </w:t>
      </w:r>
    </w:p>
    <w:p w14:paraId="44378EB7" w14:textId="09F6192B" w:rsidR="00DB1C3A" w:rsidRDefault="00DB1C3A" w:rsidP="00D0581F">
      <w:pPr>
        <w:spacing w:before="240" w:after="240"/>
        <w:rPr>
          <w:b/>
        </w:rPr>
      </w:pPr>
      <w:r>
        <w:rPr>
          <w:b/>
        </w:rPr>
        <w:t>Progress on a national training program</w:t>
      </w:r>
    </w:p>
    <w:p w14:paraId="25F4B569" w14:textId="77777777" w:rsidR="00F113B5" w:rsidRDefault="00A839F1" w:rsidP="00D0581F">
      <w:pPr>
        <w:spacing w:before="240" w:after="240"/>
      </w:pPr>
      <w:r>
        <w:t xml:space="preserve">This recommendation has been partially met. A comprehensive reproductive coercion training program for healthcare professionals is not yet available at the national level. </w:t>
      </w:r>
    </w:p>
    <w:p w14:paraId="6CBDB198" w14:textId="4B5C148C" w:rsidR="00F113B5" w:rsidRDefault="00A839F1" w:rsidP="00D0581F">
      <w:pPr>
        <w:spacing w:before="240" w:after="240"/>
      </w:pPr>
      <w:r>
        <w:t>Some individuals and organisations have developed training in various locations or regions</w:t>
      </w:r>
      <w:r w:rsidR="17AFEC9D">
        <w:t>;</w:t>
      </w:r>
      <w:r>
        <w:t xml:space="preserve"> however</w:t>
      </w:r>
      <w:r w:rsidR="4D796C65">
        <w:t>,</w:t>
      </w:r>
      <w:r>
        <w:t xml:space="preserve"> it is reliant on local leadership by sexual and reproductive health advocates working within NGOs, academic institutions or health and hospital systems. </w:t>
      </w:r>
    </w:p>
    <w:p w14:paraId="0598B665" w14:textId="0372F8C1" w:rsidR="00F113B5" w:rsidRDefault="00A839F1" w:rsidP="00D0581F">
      <w:pPr>
        <w:spacing w:before="240" w:after="240"/>
      </w:pPr>
      <w:r>
        <w:lastRenderedPageBreak/>
        <w:t>Some online training options offer national access but are tailored to specific jurisdictions or aspects of reproductive coercion.</w:t>
      </w:r>
      <w:r w:rsidR="00F113B5">
        <w:t xml:space="preserve"> For any of these programs to be accessible nationally, they will need further resourcing and investment.</w:t>
      </w:r>
    </w:p>
    <w:p w14:paraId="3EFC3F4A" w14:textId="0620D8C1" w:rsidR="00581A5E" w:rsidRPr="00A618BE" w:rsidRDefault="00AF39E7" w:rsidP="00D0581F">
      <w:pPr>
        <w:pStyle w:val="Heading1"/>
        <w:spacing w:line="276" w:lineRule="auto"/>
      </w:pPr>
      <w:bookmarkStart w:id="138" w:name="_Toc57368609"/>
      <w:r>
        <w:t xml:space="preserve">9. </w:t>
      </w:r>
      <w:r w:rsidR="00D771BE">
        <w:t xml:space="preserve"> Commitments from Marie Stopes Australia</w:t>
      </w:r>
      <w:bookmarkEnd w:id="138"/>
    </w:p>
    <w:p w14:paraId="71FCA6F6" w14:textId="1F29CE20" w:rsidR="00E75A4B" w:rsidRPr="00A618BE" w:rsidRDefault="00581A5E" w:rsidP="00D0581F">
      <w:r>
        <w:t xml:space="preserve">A national response to </w:t>
      </w:r>
      <w:r w:rsidR="00AF39E7">
        <w:t>reproductive coercion</w:t>
      </w:r>
      <w:r>
        <w:t xml:space="preserve">, including the implementation of recommendations outlined in this </w:t>
      </w:r>
      <w:r w:rsidR="00AF39E7">
        <w:t>w</w:t>
      </w:r>
      <w:r>
        <w:t xml:space="preserve">hite </w:t>
      </w:r>
      <w:r w:rsidR="00AF39E7">
        <w:t>p</w:t>
      </w:r>
      <w:r>
        <w:t>aper requires a collaborative approach across multiple sectors, including health, FV, IPV and SV institutions involved in</w:t>
      </w:r>
      <w:r w:rsidR="767E2D13">
        <w:t xml:space="preserve"> the</w:t>
      </w:r>
      <w:r>
        <w:t xml:space="preserve"> response, research, </w:t>
      </w:r>
      <w:proofErr w:type="gramStart"/>
      <w:r>
        <w:t>education</w:t>
      </w:r>
      <w:proofErr w:type="gramEnd"/>
      <w:r>
        <w:t xml:space="preserve"> and government. </w:t>
      </w:r>
    </w:p>
    <w:p w14:paraId="2D1FD381" w14:textId="30880236" w:rsidR="00581A5E" w:rsidRPr="00A618BE" w:rsidRDefault="00581A5E" w:rsidP="00D0581F">
      <w:r w:rsidRPr="00A618BE">
        <w:t xml:space="preserve">Marie Stopes Australia hopes that the knowledge and expertise synthesised within this </w:t>
      </w:r>
      <w:r w:rsidR="00714C25">
        <w:t>w</w:t>
      </w:r>
      <w:r w:rsidRPr="00A618BE">
        <w:t xml:space="preserve">hite </w:t>
      </w:r>
      <w:r w:rsidR="00714C25">
        <w:t>p</w:t>
      </w:r>
      <w:r w:rsidRPr="00A618BE">
        <w:t xml:space="preserve">aper from key stakeholder provides an opportunity to raise the profile of </w:t>
      </w:r>
      <w:r w:rsidR="00194CC8">
        <w:t>r</w:t>
      </w:r>
      <w:r w:rsidR="00194CC8" w:rsidRPr="00A618BE">
        <w:t xml:space="preserve">eproductive </w:t>
      </w:r>
      <w:r w:rsidR="00194CC8">
        <w:t>c</w:t>
      </w:r>
      <w:r w:rsidR="00194CC8" w:rsidRPr="00A618BE">
        <w:t>oercion</w:t>
      </w:r>
      <w:r w:rsidR="00194CC8">
        <w:t xml:space="preserve"> </w:t>
      </w:r>
      <w:r w:rsidRPr="00A618BE">
        <w:t xml:space="preserve">as a public health concern. </w:t>
      </w:r>
    </w:p>
    <w:p w14:paraId="3901D2B5" w14:textId="52FA894D" w:rsidR="00581A5E" w:rsidRPr="00A618BE" w:rsidRDefault="00581A5E" w:rsidP="00D0581F">
      <w:r>
        <w:t>As the coordinator of this knowledge</w:t>
      </w:r>
      <w:r w:rsidR="0F9A2B15">
        <w:t>-</w:t>
      </w:r>
      <w:r>
        <w:t xml:space="preserve">gathering process, and as a key sexual and reproductive health provider, it is important that Marie Stopes Australia commits to </w:t>
      </w:r>
      <w:r w:rsidR="00025574">
        <w:t xml:space="preserve">and reports on </w:t>
      </w:r>
      <w:r>
        <w:t>action.</w:t>
      </w:r>
      <w:r w:rsidR="00E75A4B">
        <w:t xml:space="preserve"> While practice may shift over time, this area of work will be ongoing. Evolving models of care must continually integrate new knowledge and evidence of best practice for coercion prevention and response.</w:t>
      </w:r>
    </w:p>
    <w:p w14:paraId="319CAA06" w14:textId="501BA948" w:rsidR="00025574" w:rsidRDefault="00025574" w:rsidP="00D0581F">
      <w:pPr>
        <w:pStyle w:val="Heading2"/>
      </w:pPr>
      <w:bookmarkStart w:id="139" w:name="_Toc57368610"/>
      <w:r>
        <w:t>Continuous improvement</w:t>
      </w:r>
      <w:bookmarkEnd w:id="139"/>
    </w:p>
    <w:p w14:paraId="719A8001" w14:textId="38C053C3" w:rsidR="00581A5E" w:rsidRPr="00A618BE" w:rsidRDefault="00581A5E" w:rsidP="00D0581F">
      <w:r w:rsidRPr="00A618BE">
        <w:t>Marie Stopes Australia</w:t>
      </w:r>
      <w:r w:rsidR="00025574">
        <w:t xml:space="preserve"> commits to</w:t>
      </w:r>
      <w:r w:rsidRPr="00A618BE">
        <w:t xml:space="preserve"> implement</w:t>
      </w:r>
      <w:r w:rsidR="00025574">
        <w:t>ing</w:t>
      </w:r>
      <w:r w:rsidRPr="00A618BE">
        <w:t xml:space="preserve"> internal processes and practices to better support people accessing the organisation’s services who may be experiencing </w:t>
      </w:r>
      <w:r w:rsidR="00714C25">
        <w:t>r</w:t>
      </w:r>
      <w:r w:rsidR="00714C25" w:rsidRPr="00A618BE">
        <w:t xml:space="preserve">eproductive </w:t>
      </w:r>
      <w:r w:rsidR="00714C25">
        <w:t>c</w:t>
      </w:r>
      <w:r w:rsidR="00714C25" w:rsidRPr="00A618BE">
        <w:t>oercion</w:t>
      </w:r>
      <w:r w:rsidRPr="00A618BE">
        <w:t>. This commitment includes:</w:t>
      </w:r>
    </w:p>
    <w:p w14:paraId="4F2D8BE4" w14:textId="5DF98304" w:rsidR="00581A5E" w:rsidRPr="00A618BE" w:rsidRDefault="00BB7041" w:rsidP="00D0581F">
      <w:pPr>
        <w:pStyle w:val="ListParagraph"/>
        <w:numPr>
          <w:ilvl w:val="0"/>
          <w:numId w:val="38"/>
        </w:numPr>
        <w:spacing w:before="240" w:after="240"/>
      </w:pPr>
      <w:r>
        <w:t>c</w:t>
      </w:r>
      <w:r w:rsidR="00581A5E" w:rsidRPr="00A618BE">
        <w:t xml:space="preserve">ommencing 2019, Marie Stopes Australia will roll-out trauma-informed training across the organisation to equip all relevant staff with risk assessment and response tools to support clients experiencing </w:t>
      </w:r>
      <w:r w:rsidR="00714C25">
        <w:t>r</w:t>
      </w:r>
      <w:r w:rsidR="00714C25" w:rsidRPr="00A618BE">
        <w:t xml:space="preserve">eproductive </w:t>
      </w:r>
      <w:r w:rsidR="00714C25">
        <w:t>c</w:t>
      </w:r>
      <w:r w:rsidR="00714C25" w:rsidRPr="00A618BE">
        <w:t>oercion</w:t>
      </w:r>
    </w:p>
    <w:p w14:paraId="215C8877" w14:textId="2EAA16D8" w:rsidR="00581A5E" w:rsidRPr="00A618BE" w:rsidRDefault="00BB7041" w:rsidP="00D0581F">
      <w:pPr>
        <w:pStyle w:val="ListParagraph"/>
        <w:numPr>
          <w:ilvl w:val="0"/>
          <w:numId w:val="38"/>
        </w:numPr>
        <w:spacing w:before="240" w:after="240"/>
      </w:pPr>
      <w:r>
        <w:t>t</w:t>
      </w:r>
      <w:r w:rsidR="00581A5E" w:rsidRPr="00A618BE">
        <w:t xml:space="preserve">hrough the roll-out of the second edition of the </w:t>
      </w:r>
      <w:r w:rsidR="00581A5E" w:rsidRPr="00BE4A29">
        <w:t>National Safety and Quality Health Service Standards</w:t>
      </w:r>
      <w:r w:rsidR="00581A5E" w:rsidRPr="00A618BE">
        <w:t xml:space="preserve">, Marie Stopes Australia will review informed consent and other relevant policies with consumers to continually improve the organisation’s risk assessment approach to </w:t>
      </w:r>
      <w:r w:rsidR="00714C25">
        <w:t>r</w:t>
      </w:r>
      <w:r w:rsidR="00714C25" w:rsidRPr="00A618BE">
        <w:t xml:space="preserve">eproductive </w:t>
      </w:r>
      <w:r w:rsidR="00714C25">
        <w:t>c</w:t>
      </w:r>
      <w:r w:rsidR="00714C25" w:rsidRPr="00A618BE">
        <w:t>oercion</w:t>
      </w:r>
    </w:p>
    <w:p w14:paraId="7382E999" w14:textId="023ECB55" w:rsidR="00025574" w:rsidRDefault="00BB7041" w:rsidP="00D0581F">
      <w:pPr>
        <w:pStyle w:val="ListParagraph"/>
        <w:numPr>
          <w:ilvl w:val="0"/>
          <w:numId w:val="38"/>
        </w:numPr>
        <w:spacing w:before="240" w:after="240"/>
      </w:pPr>
      <w:r>
        <w:t>c</w:t>
      </w:r>
      <w:r w:rsidR="00581A5E" w:rsidRPr="00A618BE">
        <w:t xml:space="preserve">ontinuing to raise funds and support clients at risk of </w:t>
      </w:r>
      <w:r w:rsidR="00714C25">
        <w:t>r</w:t>
      </w:r>
      <w:r w:rsidR="00714C25" w:rsidRPr="00A618BE">
        <w:t xml:space="preserve">eproductive </w:t>
      </w:r>
      <w:r w:rsidR="00714C25">
        <w:t>c</w:t>
      </w:r>
      <w:r w:rsidR="00714C25" w:rsidRPr="00A618BE">
        <w:t>oercion</w:t>
      </w:r>
      <w:r w:rsidR="00714C25">
        <w:t xml:space="preserve"> </w:t>
      </w:r>
      <w:r w:rsidR="00581A5E" w:rsidRPr="00A618BE">
        <w:t>through the organisations Choice Philanthropic Fund</w:t>
      </w:r>
      <w:r w:rsidR="00581A5E" w:rsidRPr="00A618BE">
        <w:rPr>
          <w:rStyle w:val="EndnoteReference"/>
        </w:rPr>
        <w:endnoteReference w:id="218"/>
      </w:r>
    </w:p>
    <w:p w14:paraId="14C25E0E" w14:textId="0481CA69" w:rsidR="00025574" w:rsidRDefault="00BB7041" w:rsidP="00D0581F">
      <w:pPr>
        <w:pStyle w:val="ListParagraph"/>
        <w:numPr>
          <w:ilvl w:val="0"/>
          <w:numId w:val="38"/>
        </w:numPr>
        <w:spacing w:before="240" w:after="240"/>
      </w:pPr>
      <w:r>
        <w:t>f</w:t>
      </w:r>
      <w:r w:rsidR="00025574" w:rsidRPr="00A618BE">
        <w:t xml:space="preserve">oster an internal workplace culture responsive to FV, IPV, SV and </w:t>
      </w:r>
      <w:r w:rsidR="00025574">
        <w:t>r</w:t>
      </w:r>
      <w:r w:rsidR="00025574" w:rsidRPr="00A618BE">
        <w:t xml:space="preserve">eproductive </w:t>
      </w:r>
      <w:r w:rsidR="00025574">
        <w:t>c</w:t>
      </w:r>
      <w:r w:rsidR="00025574" w:rsidRPr="00A618BE">
        <w:t>oercion</w:t>
      </w:r>
      <w:r w:rsidR="00025574">
        <w:t xml:space="preserve"> </w:t>
      </w:r>
      <w:r w:rsidR="00025574" w:rsidRPr="00A618BE">
        <w:t xml:space="preserve">by supporting staff who may be experiencing any of these issues </w:t>
      </w:r>
      <w:r w:rsidR="00025574">
        <w:t xml:space="preserve">personally </w:t>
      </w:r>
      <w:r w:rsidR="00025574" w:rsidRPr="00A618BE">
        <w:t>by</w:t>
      </w:r>
      <w:r w:rsidR="00025574">
        <w:t xml:space="preserve"> providing</w:t>
      </w:r>
      <w:r w:rsidR="00025574" w:rsidRPr="00A618BE">
        <w:t xml:space="preserve"> staff with up to 10 days paid </w:t>
      </w:r>
      <w:r w:rsidR="00025574">
        <w:t>FV</w:t>
      </w:r>
      <w:r w:rsidR="00025574" w:rsidRPr="00A618BE">
        <w:t xml:space="preserve"> leave</w:t>
      </w:r>
      <w:r w:rsidR="00025574">
        <w:t xml:space="preserve"> each year</w:t>
      </w:r>
      <w:r w:rsidR="00025574" w:rsidRPr="00A618BE">
        <w:t xml:space="preserve">. </w:t>
      </w:r>
    </w:p>
    <w:p w14:paraId="61D7F35D" w14:textId="77777777" w:rsidR="00BB7041" w:rsidRDefault="00BB7041">
      <w:pPr>
        <w:spacing w:after="160" w:line="259" w:lineRule="auto"/>
        <w:rPr>
          <w:b/>
        </w:rPr>
      </w:pPr>
      <w:r>
        <w:rPr>
          <w:b/>
        </w:rPr>
        <w:br w:type="page"/>
      </w:r>
    </w:p>
    <w:p w14:paraId="7D0998D6" w14:textId="3C2490E8" w:rsidR="00DB1C3A" w:rsidRDefault="00DB1C3A" w:rsidP="00D0581F">
      <w:pPr>
        <w:spacing w:before="240" w:after="240"/>
        <w:rPr>
          <w:b/>
        </w:rPr>
      </w:pPr>
      <w:r w:rsidRPr="00BE4A29">
        <w:rPr>
          <w:b/>
        </w:rPr>
        <w:lastRenderedPageBreak/>
        <w:t>Progress on continuous improvement</w:t>
      </w:r>
      <w:r>
        <w:rPr>
          <w:b/>
        </w:rPr>
        <w:t xml:space="preserve"> commitments</w:t>
      </w:r>
    </w:p>
    <w:p w14:paraId="3D2E72DA" w14:textId="505B193F" w:rsidR="002C1D96" w:rsidRDefault="006B7C86" w:rsidP="00D0581F">
      <w:pPr>
        <w:spacing w:before="240" w:after="240"/>
      </w:pPr>
      <w:r>
        <w:t>Marie Stopes Australia reviewed existing approaches to trauma</w:t>
      </w:r>
      <w:r w:rsidR="39BA2BF6">
        <w:t>-</w:t>
      </w:r>
      <w:r>
        <w:t>informed care used in various clinical and counselling settings across Australia, considering the gaps, areas of risk and opportunities for change.</w:t>
      </w:r>
      <w:r w:rsidR="002C1D96">
        <w:t xml:space="preserve"> This involved introductory level training with almost 100 staff</w:t>
      </w:r>
      <w:r w:rsidR="00E9412D">
        <w:t>,</w:t>
      </w:r>
      <w:r w:rsidR="002C1D96">
        <w:t xml:space="preserve"> including the executive, and interviews with key leadership roles.</w:t>
      </w:r>
      <w:r>
        <w:t xml:space="preserve"> It became apparent that rather than rolling-out training and developing standardised approaches, trauma</w:t>
      </w:r>
      <w:r w:rsidR="48D28A9E">
        <w:t>-</w:t>
      </w:r>
      <w:r>
        <w:t>inform</w:t>
      </w:r>
      <w:r w:rsidR="00716E0C">
        <w:t>ed</w:t>
      </w:r>
      <w:r>
        <w:t xml:space="preserve"> care needed to be embedded throughout the structure of the organisation. </w:t>
      </w:r>
    </w:p>
    <w:p w14:paraId="1EE407BB" w14:textId="3ECF5836" w:rsidR="006B7C86" w:rsidRDefault="002C1D96" w:rsidP="00D0581F">
      <w:pPr>
        <w:spacing w:before="240" w:after="240"/>
      </w:pPr>
      <w:r>
        <w:t xml:space="preserve">Marie Stopes Australia developed a theory of change model alongside a </w:t>
      </w:r>
      <w:r w:rsidR="4815C539">
        <w:t>longer-term</w:t>
      </w:r>
      <w:r>
        <w:t xml:space="preserve"> framework for implementation, monitoring and evaluation. The next steps are to secure resourcing for a trauma</w:t>
      </w:r>
      <w:r w:rsidR="73C9D750">
        <w:t>-</w:t>
      </w:r>
      <w:r>
        <w:t>informed care program lead that will be located within the Community of Excellence to facilitate the broader process of properly embedding principles of trauma</w:t>
      </w:r>
      <w:r w:rsidR="6BB59076">
        <w:t>-</w:t>
      </w:r>
      <w:r>
        <w:t>informed care. Ideally</w:t>
      </w:r>
      <w:r w:rsidR="11D1E9AB">
        <w:t>,</w:t>
      </w:r>
      <w:r>
        <w:t xml:space="preserve"> this would be partnered with an academic research project that can gather evidence and evaluate the model for translation in other Marie Stopes International settings.</w:t>
      </w:r>
    </w:p>
    <w:p w14:paraId="4EA92589" w14:textId="02E007CB" w:rsidR="00F9595C" w:rsidRDefault="00F9595C" w:rsidP="00D0581F">
      <w:pPr>
        <w:spacing w:before="240" w:after="240"/>
      </w:pPr>
      <w:r>
        <w:t>In line with the National Safety and Quality Health Service Standards, a comprehensive care plan review mapped the client journey to consider opportunities for continuous improvement. In terms of reproductive coercion prevention and response, it considered existing or potential points for sensitive enquiry. It found that in some situations</w:t>
      </w:r>
      <w:r w:rsidR="038E7BC6">
        <w:t>,</w:t>
      </w:r>
      <w:r>
        <w:t xml:space="preserve"> clients were being questioned too frequently about </w:t>
      </w:r>
      <w:r w:rsidR="243C092D">
        <w:t xml:space="preserve">the </w:t>
      </w:r>
      <w:r>
        <w:t xml:space="preserve">risk of coercion. Amendments were made to administrative processes and patient flow to enhance sensitive enquiry mechanisms and reduce risk of over-screening. </w:t>
      </w:r>
    </w:p>
    <w:p w14:paraId="24C097C7" w14:textId="299012E6" w:rsidR="005419D2" w:rsidRDefault="002C1D96" w:rsidP="00D0581F">
      <w:pPr>
        <w:spacing w:before="240" w:after="240"/>
      </w:pPr>
      <w:r>
        <w:t xml:space="preserve">Marie Stopes Australia undertook a policy audit of all organisational policies and mapped which ones needed review </w:t>
      </w:r>
      <w:proofErr w:type="gramStart"/>
      <w:r>
        <w:t>in order to</w:t>
      </w:r>
      <w:proofErr w:type="gramEnd"/>
      <w:r>
        <w:t xml:space="preserve"> embed trauma</w:t>
      </w:r>
      <w:r w:rsidR="01A779B0">
        <w:t>-</w:t>
      </w:r>
      <w:r>
        <w:t>informed care</w:t>
      </w:r>
      <w:r w:rsidR="00C56182">
        <w:t xml:space="preserve"> and integrate person and community</w:t>
      </w:r>
      <w:r w:rsidR="300701BC">
        <w:t>-</w:t>
      </w:r>
      <w:r w:rsidR="00716E0C">
        <w:t>centred care</w:t>
      </w:r>
      <w:r>
        <w:t xml:space="preserve">. Key policies </w:t>
      </w:r>
      <w:r w:rsidR="00716E0C">
        <w:t>underwent</w:t>
      </w:r>
      <w:r>
        <w:t xml:space="preserve"> </w:t>
      </w:r>
      <w:r w:rsidR="00AD01E0">
        <w:t xml:space="preserve">a </w:t>
      </w:r>
      <w:r w:rsidR="00716E0C">
        <w:t xml:space="preserve">more detailed </w:t>
      </w:r>
      <w:r>
        <w:t>review</w:t>
      </w:r>
      <w:r w:rsidR="1DD572C9">
        <w:t>,</w:t>
      </w:r>
      <w:r>
        <w:t xml:space="preserve"> including informed consent polic</w:t>
      </w:r>
      <w:r w:rsidR="00950FCB">
        <w:t>ies and</w:t>
      </w:r>
      <w:r>
        <w:t xml:space="preserve"> anti-discrimination policies</w:t>
      </w:r>
      <w:r w:rsidR="00C56182">
        <w:t xml:space="preserve">. A </w:t>
      </w:r>
      <w:r w:rsidR="00950FCB">
        <w:t>Reflect Reconciliation Action Plan was completed</w:t>
      </w:r>
      <w:r w:rsidR="56AB9CB3">
        <w:t>,</w:t>
      </w:r>
      <w:r>
        <w:t xml:space="preserve"> and an Aboriginal and Torres Strait Islander cultural protocol policy was developed in consultation with key </w:t>
      </w:r>
      <w:r w:rsidR="00BD73D5">
        <w:t>community</w:t>
      </w:r>
      <w:r>
        <w:t xml:space="preserve"> stakeholders.</w:t>
      </w:r>
      <w:r w:rsidR="005419D2">
        <w:t xml:space="preserve"> </w:t>
      </w:r>
      <w:r w:rsidR="00C56182">
        <w:t xml:space="preserve">Health consumer advisory policies and procedures were </w:t>
      </w:r>
      <w:proofErr w:type="gramStart"/>
      <w:r w:rsidR="00C56182">
        <w:t>updated</w:t>
      </w:r>
      <w:proofErr w:type="gramEnd"/>
      <w:r w:rsidR="00C56182">
        <w:t xml:space="preserve"> and consu</w:t>
      </w:r>
      <w:r w:rsidR="005E36E2">
        <w:t>mer advisory roles</w:t>
      </w:r>
      <w:r w:rsidR="00C56182">
        <w:t xml:space="preserve"> were formalised within the </w:t>
      </w:r>
      <w:r w:rsidR="00913F78">
        <w:t xml:space="preserve">organisational </w:t>
      </w:r>
      <w:r w:rsidR="00C56182">
        <w:t>commit</w:t>
      </w:r>
      <w:r w:rsidR="005E36E2">
        <w:t>tee structure alongside the executive team.</w:t>
      </w:r>
    </w:p>
    <w:p w14:paraId="28DF67BA" w14:textId="2F127383" w:rsidR="00716E0C" w:rsidRDefault="005419D2" w:rsidP="00D0581F">
      <w:pPr>
        <w:spacing w:before="240" w:after="240"/>
      </w:pPr>
      <w:r>
        <w:t xml:space="preserve">In </w:t>
      </w:r>
      <w:r w:rsidR="00716E0C">
        <w:t xml:space="preserve">early </w:t>
      </w:r>
      <w:r>
        <w:t>2019 there was an internal review</w:t>
      </w:r>
      <w:r w:rsidR="00716E0C">
        <w:t xml:space="preserve"> </w:t>
      </w:r>
      <w:r>
        <w:t xml:space="preserve">of bookings procedures to reduce risk of coercion by second or third parties during telephone bookings. </w:t>
      </w:r>
      <w:r w:rsidR="00716E0C">
        <w:t>The review findings were implemented in late 2019.</w:t>
      </w:r>
      <w:r w:rsidR="00F9595C" w:rsidRPr="00F9595C">
        <w:t xml:space="preserve"> </w:t>
      </w:r>
    </w:p>
    <w:p w14:paraId="7E8D5A8E" w14:textId="77777777" w:rsidR="00BB7041" w:rsidRDefault="005419D2" w:rsidP="00D0581F">
      <w:pPr>
        <w:spacing w:before="240" w:after="240"/>
      </w:pPr>
      <w:r>
        <w:t xml:space="preserve">In 2020 Marie Stopes Australia </w:t>
      </w:r>
      <w:r w:rsidR="00AD01E0">
        <w:t xml:space="preserve">commissioned </w:t>
      </w:r>
      <w:r w:rsidR="005E36E2">
        <w:t>two independent</w:t>
      </w:r>
      <w:r>
        <w:t xml:space="preserve"> review</w:t>
      </w:r>
      <w:r w:rsidR="005E36E2">
        <w:t>s of the call centre</w:t>
      </w:r>
      <w:r w:rsidR="00C173D7">
        <w:t xml:space="preserve"> and the client journey respectively</w:t>
      </w:r>
      <w:r w:rsidR="005E36E2">
        <w:t xml:space="preserve"> which evaluated relevant </w:t>
      </w:r>
      <w:r>
        <w:t xml:space="preserve">policies, </w:t>
      </w:r>
      <w:proofErr w:type="gramStart"/>
      <w:r>
        <w:t>procedures</w:t>
      </w:r>
      <w:proofErr w:type="gramEnd"/>
      <w:r>
        <w:t xml:space="preserve"> a</w:t>
      </w:r>
      <w:r w:rsidR="005E36E2">
        <w:t>nd practice</w:t>
      </w:r>
      <w:r w:rsidR="00CE718D">
        <w:t>, including interviews with clients and staff</w:t>
      </w:r>
      <w:r w:rsidR="005E36E2">
        <w:t xml:space="preserve">. One of the 2020 reviews focused on client flow, and the other on </w:t>
      </w:r>
      <w:r w:rsidR="00477912">
        <w:t xml:space="preserve">identifying any real or perceived </w:t>
      </w:r>
      <w:r w:rsidR="005E36E2">
        <w:t>reproductive coercion</w:t>
      </w:r>
      <w:r w:rsidR="00477912">
        <w:t xml:space="preserve"> in the call centre setting </w:t>
      </w:r>
      <w:r w:rsidR="005E36E2">
        <w:t xml:space="preserve">- with both intersecting prior to making recommendations. </w:t>
      </w:r>
    </w:p>
    <w:p w14:paraId="5C898844" w14:textId="34A023E2" w:rsidR="005419D2" w:rsidRPr="005419D2" w:rsidRDefault="005E36E2" w:rsidP="00D0581F">
      <w:pPr>
        <w:spacing w:before="240" w:after="240"/>
        <w:rPr>
          <w:rFonts w:ascii="Franklin Gothic Book" w:hAnsi="Franklin Gothic Book"/>
          <w:lang w:val="en-US"/>
        </w:rPr>
      </w:pPr>
      <w:r>
        <w:lastRenderedPageBreak/>
        <w:t xml:space="preserve">The reproductive coercion review </w:t>
      </w:r>
      <w:r w:rsidR="00CE718D">
        <w:t xml:space="preserve">paid particular attention to any </w:t>
      </w:r>
      <w:r w:rsidR="005419D2">
        <w:t xml:space="preserve">practice that may inadvertently increase </w:t>
      </w:r>
      <w:r w:rsidR="59874FD9">
        <w:t xml:space="preserve">the </w:t>
      </w:r>
      <w:r w:rsidR="005419D2">
        <w:t>risk of coercion or be perceived as coercive. The</w:t>
      </w:r>
      <w:r w:rsidR="00716E0C">
        <w:t xml:space="preserve"> </w:t>
      </w:r>
      <w:r w:rsidR="005419D2">
        <w:t>review</w:t>
      </w:r>
      <w:r w:rsidR="00CE718D">
        <w:t>s</w:t>
      </w:r>
      <w:r w:rsidR="005419D2">
        <w:t xml:space="preserve"> concluded that existing practices were not </w:t>
      </w:r>
      <w:proofErr w:type="gramStart"/>
      <w:r w:rsidR="005419D2">
        <w:t>coercive</w:t>
      </w:r>
      <w:proofErr w:type="gramEnd"/>
      <w:r w:rsidR="00170C86">
        <w:t xml:space="preserve"> nor did they increase </w:t>
      </w:r>
      <w:r w:rsidR="613474F7">
        <w:t xml:space="preserve">the </w:t>
      </w:r>
      <w:r w:rsidR="00170C86">
        <w:t xml:space="preserve">risk of coercion. </w:t>
      </w:r>
      <w:r w:rsidR="00CE718D">
        <w:t xml:space="preserve">Recommendations included </w:t>
      </w:r>
      <w:r>
        <w:t xml:space="preserve">enhanced models of pre-care </w:t>
      </w:r>
      <w:r w:rsidR="00CE718D">
        <w:t xml:space="preserve">via telehealth </w:t>
      </w:r>
      <w:r>
        <w:t>and further investment in counselling to enable faster escalation processes.</w:t>
      </w:r>
      <w:r w:rsidR="00CE718D">
        <w:t xml:space="preserve"> Revised procedures were suggested with refreshed quality measurement tools that better measure impact</w:t>
      </w:r>
      <w:r w:rsidR="00477912">
        <w:t>, remove any perceptions of coercion with traditional call centre metrics,</w:t>
      </w:r>
      <w:r w:rsidR="00CE718D">
        <w:t xml:space="preserve"> and are more likely to inform continuous improvement mechanisms. </w:t>
      </w:r>
      <w:r>
        <w:t xml:space="preserve"> </w:t>
      </w:r>
      <w:r w:rsidR="00CE718D">
        <w:t>Recommendations from both reviews will be implemented in late 2020 and throughout</w:t>
      </w:r>
      <w:r w:rsidR="00716E0C">
        <w:t xml:space="preserve"> </w:t>
      </w:r>
      <w:r w:rsidR="00CE718D">
        <w:t>2021.</w:t>
      </w:r>
    </w:p>
    <w:p w14:paraId="573540BB" w14:textId="44BE064A" w:rsidR="005419D2" w:rsidRDefault="000C50FF" w:rsidP="00D0581F">
      <w:pPr>
        <w:spacing w:before="240" w:after="240"/>
      </w:pPr>
      <w:r>
        <w:t>The Choice Fund has been used to support women and pregnant people to access their choice of contraceptive and/or abortion care when they cannot otherwise afford it. Over the two years</w:t>
      </w:r>
      <w:r w:rsidR="00AD01E0">
        <w:t xml:space="preserve"> from 2018 to 2019</w:t>
      </w:r>
      <w:r w:rsidR="2FCB2F8B">
        <w:t>,</w:t>
      </w:r>
      <w:r>
        <w:t xml:space="preserve"> 1</w:t>
      </w:r>
      <w:r w:rsidR="00AD01E0">
        <w:t>,</w:t>
      </w:r>
      <w:r>
        <w:t>477 clients were financially supported</w:t>
      </w:r>
      <w:r w:rsidR="00AD01E0">
        <w:t xml:space="preserve"> through this fund</w:t>
      </w:r>
      <w:r>
        <w:t xml:space="preserve">. In 2018 20% of </w:t>
      </w:r>
      <w:r w:rsidR="00BB7041">
        <w:t>C</w:t>
      </w:r>
      <w:r>
        <w:t xml:space="preserve">hoice </w:t>
      </w:r>
      <w:r w:rsidR="00BB7041">
        <w:t>F</w:t>
      </w:r>
      <w:r>
        <w:t xml:space="preserve">und beneficiaries were experiencing domestic or family violence, and 9% were experiencing sexual violence. In 2019 this dropped to 4% experiencing family or domestic violence and 1% experiencing sexual violence. This was not aligned with one of the </w:t>
      </w:r>
      <w:r w:rsidR="00BB7041">
        <w:t>F</w:t>
      </w:r>
      <w:r>
        <w:t>und’s intentions to support people experiencing violence to access their choice of healthcare. In addition to needing to consider funding criteria, by 2019</w:t>
      </w:r>
      <w:r w:rsidR="272B654E">
        <w:t>,</w:t>
      </w:r>
      <w:r>
        <w:t xml:space="preserve"> the level of financial support reached $561,000 of services, which was unsustainable for the organisation. </w:t>
      </w:r>
    </w:p>
    <w:p w14:paraId="01330299" w14:textId="2B6148EB" w:rsidR="000B269E" w:rsidRDefault="000C50FF" w:rsidP="00D0581F">
      <w:pPr>
        <w:spacing w:before="240" w:after="240"/>
      </w:pPr>
      <w:r>
        <w:t xml:space="preserve">In 2020 Marie Stopes Australia undertook a review of the </w:t>
      </w:r>
      <w:r w:rsidR="00BB7041">
        <w:t>C</w:t>
      </w:r>
      <w:r>
        <w:t xml:space="preserve">hoice </w:t>
      </w:r>
      <w:r w:rsidR="00BB7041">
        <w:t>F</w:t>
      </w:r>
      <w:r>
        <w:t xml:space="preserve">und and introduced new funding criteria </w:t>
      </w:r>
      <w:proofErr w:type="gramStart"/>
      <w:r>
        <w:t>in an effort to</w:t>
      </w:r>
      <w:proofErr w:type="gramEnd"/>
      <w:r>
        <w:t xml:space="preserve"> increase equity for those experiencing violence to access sexual and reproductive healthcare.</w:t>
      </w:r>
      <w:r w:rsidR="005419D2">
        <w:t xml:space="preserve"> </w:t>
      </w:r>
      <w:r w:rsidR="000B269E">
        <w:t xml:space="preserve">In 2021 we will be able to evaluate the new financial support criteria. </w:t>
      </w:r>
    </w:p>
    <w:p w14:paraId="1FFE455B" w14:textId="215C6A6D" w:rsidR="000C50FF" w:rsidRDefault="005419D2" w:rsidP="00D0581F">
      <w:pPr>
        <w:spacing w:before="240" w:after="240"/>
      </w:pPr>
      <w:r>
        <w:t>Given the financial barriers to sexual and reproductive healthcare,</w:t>
      </w:r>
      <w:r w:rsidR="000B269E">
        <w:t xml:space="preserve"> an initiative like the Choice Fund cannot be the answer to SRH access and equity in Australia.</w:t>
      </w:r>
      <w:r>
        <w:t xml:space="preserve"> Marie Stopes Australia will continue to lobby for investment in sexual and reproductive healthcare provision, such as MBS item numbers for medical abortion via telehealth and aspects of nurse-led care.</w:t>
      </w:r>
    </w:p>
    <w:p w14:paraId="5CE863BC" w14:textId="41E3C697" w:rsidR="006B7C86" w:rsidRDefault="000C50FF" w:rsidP="00D0581F">
      <w:pPr>
        <w:spacing w:before="240" w:after="240"/>
        <w:rPr>
          <w:b/>
        </w:rPr>
      </w:pPr>
      <w:r>
        <w:t>In 2018 Marie Stopes Australia revised leave policy that provides up to ten days paid leave for staff experiencing family or domestic violence.</w:t>
      </w:r>
    </w:p>
    <w:p w14:paraId="21C77217" w14:textId="33879047" w:rsidR="00581A5E" w:rsidRPr="00A618BE" w:rsidRDefault="00025574" w:rsidP="00D0581F">
      <w:pPr>
        <w:pStyle w:val="Heading2"/>
      </w:pPr>
      <w:bookmarkStart w:id="140" w:name="_Toc57368611"/>
      <w:r w:rsidRPr="00197FAD">
        <w:t>Build and share evidence</w:t>
      </w:r>
      <w:bookmarkEnd w:id="140"/>
    </w:p>
    <w:p w14:paraId="36A01E3A" w14:textId="1B2678A1" w:rsidR="00581A5E" w:rsidRPr="00A618BE" w:rsidRDefault="00581A5E" w:rsidP="00D0581F">
      <w:r>
        <w:t xml:space="preserve">Marie Stopes Australia </w:t>
      </w:r>
      <w:r w:rsidR="31C44AB9">
        <w:t xml:space="preserve">is </w:t>
      </w:r>
      <w:r w:rsidR="00FF1BCC">
        <w:t>committed</w:t>
      </w:r>
      <w:r w:rsidR="00025574">
        <w:t xml:space="preserve"> to engaging </w:t>
      </w:r>
      <w:r>
        <w:t>in further research as part of a collaborative effort to progress understanding</w:t>
      </w:r>
      <w:r w:rsidR="44D7017E">
        <w:t>s</w:t>
      </w:r>
      <w:r>
        <w:t xml:space="preserve"> of the prevalence, lived experiences of, and most appropriate response to </w:t>
      </w:r>
      <w:r w:rsidR="00714C25">
        <w:t>reproductive coercion</w:t>
      </w:r>
      <w:r>
        <w:t>, including through:</w:t>
      </w:r>
    </w:p>
    <w:p w14:paraId="37B4637F" w14:textId="5FEA8109" w:rsidR="00581A5E" w:rsidRDefault="00BB7041" w:rsidP="00D0581F">
      <w:pPr>
        <w:pStyle w:val="ListParagraph"/>
        <w:numPr>
          <w:ilvl w:val="0"/>
          <w:numId w:val="38"/>
        </w:numPr>
        <w:spacing w:before="240" w:after="240"/>
      </w:pPr>
      <w:r>
        <w:t>i</w:t>
      </w:r>
      <w:r w:rsidR="00581A5E" w:rsidRPr="00A618BE">
        <w:t xml:space="preserve">ncluding </w:t>
      </w:r>
      <w:r w:rsidR="00714C25">
        <w:t>r</w:t>
      </w:r>
      <w:r w:rsidR="00714C25" w:rsidRPr="00A618BE">
        <w:t xml:space="preserve">eproductive </w:t>
      </w:r>
      <w:r w:rsidR="00714C25">
        <w:t>c</w:t>
      </w:r>
      <w:r w:rsidR="00714C25" w:rsidRPr="00A618BE">
        <w:t>oercion</w:t>
      </w:r>
      <w:r w:rsidR="00714C25">
        <w:t xml:space="preserve"> </w:t>
      </w:r>
      <w:r w:rsidR="00581A5E" w:rsidRPr="00A618BE">
        <w:t xml:space="preserve">as part of the current </w:t>
      </w:r>
      <w:r w:rsidR="001B1BA2">
        <w:t>ANU</w:t>
      </w:r>
      <w:r w:rsidR="00581A5E" w:rsidRPr="00A618BE">
        <w:t xml:space="preserve"> and Marie Stopes Australia research collaboration on </w:t>
      </w:r>
      <w:r w:rsidR="001B1BA2">
        <w:t>Personalising</w:t>
      </w:r>
      <w:r w:rsidR="00581A5E" w:rsidRPr="00A618BE">
        <w:t xml:space="preserve"> Abortion Care</w:t>
      </w:r>
      <w:r w:rsidR="00581A5E" w:rsidRPr="00A618BE">
        <w:rPr>
          <w:rStyle w:val="EndnoteReference"/>
        </w:rPr>
        <w:endnoteReference w:id="219"/>
      </w:r>
    </w:p>
    <w:p w14:paraId="1E59E378" w14:textId="40712380" w:rsidR="00581A5E" w:rsidRPr="00A618BE" w:rsidRDefault="00BB7041" w:rsidP="00D0581F">
      <w:pPr>
        <w:pStyle w:val="ListParagraph"/>
        <w:numPr>
          <w:ilvl w:val="0"/>
          <w:numId w:val="38"/>
        </w:numPr>
        <w:spacing w:before="240" w:after="240"/>
      </w:pPr>
      <w:r>
        <w:t>u</w:t>
      </w:r>
      <w:r w:rsidR="00581A5E">
        <w:t xml:space="preserve">sing world-leading research methodologies to bring together research partners and data in sexual and reproductive health and rights </w:t>
      </w:r>
    </w:p>
    <w:p w14:paraId="79782E62" w14:textId="775B3D57" w:rsidR="00581A5E" w:rsidRPr="00A618BE" w:rsidRDefault="00BB7041" w:rsidP="00D0581F">
      <w:pPr>
        <w:pStyle w:val="ListParagraph"/>
        <w:numPr>
          <w:ilvl w:val="0"/>
          <w:numId w:val="38"/>
        </w:numPr>
        <w:spacing w:before="240" w:after="240"/>
      </w:pPr>
      <w:r>
        <w:lastRenderedPageBreak/>
        <w:t>s</w:t>
      </w:r>
      <w:r w:rsidR="00581A5E" w:rsidRPr="00A618BE">
        <w:t>haring knowledge across the sexual and reproductive health profession through training and presentations at key events and conferences</w:t>
      </w:r>
    </w:p>
    <w:p w14:paraId="129863DC" w14:textId="64361CE1" w:rsidR="00581A5E" w:rsidRDefault="00BB7041" w:rsidP="00D0581F">
      <w:pPr>
        <w:pStyle w:val="ListParagraph"/>
        <w:numPr>
          <w:ilvl w:val="0"/>
          <w:numId w:val="38"/>
        </w:numPr>
        <w:spacing w:before="240" w:after="240"/>
      </w:pPr>
      <w:r>
        <w:t>e</w:t>
      </w:r>
      <w:r w:rsidR="00581A5E" w:rsidRPr="00A618BE">
        <w:t xml:space="preserve">ngaging with the FV, IPV and SV sectors through network events such as conferences, and sharing knowledge gained through the organisation’s work to address </w:t>
      </w:r>
      <w:r w:rsidR="00714C25">
        <w:t>r</w:t>
      </w:r>
      <w:r w:rsidR="00714C25" w:rsidRPr="00A618BE">
        <w:t xml:space="preserve">eproductive </w:t>
      </w:r>
      <w:r w:rsidR="00714C25">
        <w:t>c</w:t>
      </w:r>
      <w:r w:rsidR="00714C25" w:rsidRPr="00A618BE">
        <w:t>oercion</w:t>
      </w:r>
      <w:r w:rsidR="00714C25">
        <w:t xml:space="preserve"> </w:t>
      </w:r>
      <w:r w:rsidR="00581A5E" w:rsidRPr="00A618BE">
        <w:t xml:space="preserve">in healthcare settings. </w:t>
      </w:r>
    </w:p>
    <w:p w14:paraId="4B625407" w14:textId="50B6E4F2" w:rsidR="00DB1C3A" w:rsidRDefault="00DB1C3A" w:rsidP="00D0581F">
      <w:pPr>
        <w:spacing w:before="240" w:after="240"/>
        <w:rPr>
          <w:b/>
        </w:rPr>
      </w:pPr>
      <w:r w:rsidRPr="001E0C87">
        <w:rPr>
          <w:b/>
        </w:rPr>
        <w:t xml:space="preserve">Progress on </w:t>
      </w:r>
      <w:r>
        <w:rPr>
          <w:b/>
        </w:rPr>
        <w:t>contributing to the evidence base</w:t>
      </w:r>
    </w:p>
    <w:p w14:paraId="392FD739" w14:textId="312B69BB" w:rsidR="00BC5B2C" w:rsidRDefault="00BC5B2C" w:rsidP="00D0581F">
      <w:pPr>
        <w:spacing w:before="240" w:after="240"/>
      </w:pPr>
      <w:r>
        <w:t xml:space="preserve">Since the first edition of </w:t>
      </w:r>
      <w:r w:rsidRPr="00BB7041">
        <w:rPr>
          <w:i/>
          <w:iCs/>
        </w:rPr>
        <w:t>Hidden Forces</w:t>
      </w:r>
      <w:r>
        <w:t xml:space="preserve"> was published</w:t>
      </w:r>
      <w:r w:rsidR="74CF7AC2">
        <w:t>,</w:t>
      </w:r>
      <w:r>
        <w:t xml:space="preserve"> Marie Stopes Australia has participated in </w:t>
      </w:r>
      <w:proofErr w:type="gramStart"/>
      <w:r>
        <w:t>a number of</w:t>
      </w:r>
      <w:proofErr w:type="gramEnd"/>
      <w:r>
        <w:t xml:space="preserve"> related events including conferences, roundtables, advisory meetings and consultations. The paper had 6,106 downloads</w:t>
      </w:r>
      <w:r w:rsidR="009A49F4">
        <w:t xml:space="preserve"> in the first year of publication, </w:t>
      </w:r>
      <w:r w:rsidR="007E0C80">
        <w:t>accessed by</w:t>
      </w:r>
      <w:r>
        <w:t xml:space="preserve"> 1,054 unique visitors. </w:t>
      </w:r>
    </w:p>
    <w:p w14:paraId="41CBC830" w14:textId="7FD91F36" w:rsidR="001B1BA2" w:rsidRPr="00197FAD" w:rsidRDefault="00BC5B2C" w:rsidP="00D0581F">
      <w:pPr>
        <w:spacing w:before="240" w:after="240"/>
      </w:pPr>
      <w:r>
        <w:t xml:space="preserve">Conferences presentations included </w:t>
      </w:r>
      <w:r w:rsidR="00BB7041">
        <w:t xml:space="preserve">Australasian Society </w:t>
      </w:r>
      <w:r w:rsidR="00EC4CC0">
        <w:t>of HIV Medicine</w:t>
      </w:r>
      <w:r w:rsidR="00BB7041">
        <w:t xml:space="preserve"> </w:t>
      </w:r>
      <w:r w:rsidR="00EC4CC0">
        <w:t>(</w:t>
      </w:r>
      <w:r>
        <w:t>ASHM</w:t>
      </w:r>
      <w:r w:rsidR="00EC4CC0">
        <w:t>)</w:t>
      </w:r>
      <w:r>
        <w:t xml:space="preserve"> Children by Choice, Jean </w:t>
      </w:r>
      <w:proofErr w:type="spellStart"/>
      <w:proofErr w:type="gramStart"/>
      <w:r>
        <w:t>Hailes</w:t>
      </w:r>
      <w:proofErr w:type="spellEnd"/>
      <w:proofErr w:type="gramEnd"/>
      <w:r>
        <w:t xml:space="preserve"> and the Multicultural Centre for Women’s Health</w:t>
      </w:r>
      <w:r w:rsidR="00EC4CC0">
        <w:t xml:space="preserve"> (MCWH) </w:t>
      </w:r>
      <w:r>
        <w:t xml:space="preserve">conferences. Marie Stopes Australia </w:t>
      </w:r>
      <w:r w:rsidR="00DF44F9">
        <w:t>facilitated</w:t>
      </w:r>
      <w:r>
        <w:t xml:space="preserve"> a reproductive coercion </w:t>
      </w:r>
      <w:r w:rsidRPr="00197FAD">
        <w:t>themed Access and Equity Forum hosted by Women’s Health Victoria and Women’s Health in the North.</w:t>
      </w:r>
    </w:p>
    <w:p w14:paraId="00EE8C68" w14:textId="2C2161F9" w:rsidR="00BC5B2C" w:rsidRDefault="00BC5B2C" w:rsidP="00D0581F">
      <w:pPr>
        <w:spacing w:before="240" w:after="240"/>
      </w:pPr>
      <w:r w:rsidRPr="00197FAD">
        <w:t xml:space="preserve">The ANU Personalising Abortion Care </w:t>
      </w:r>
      <w:r w:rsidR="000B269E" w:rsidRPr="00197FAD">
        <w:t>program</w:t>
      </w:r>
      <w:r w:rsidRPr="00197FAD">
        <w:t xml:space="preserve"> is currently </w:t>
      </w:r>
      <w:r w:rsidR="002326CC" w:rsidRPr="00197FAD">
        <w:t xml:space="preserve">designing a cohort study of clients </w:t>
      </w:r>
      <w:r w:rsidRPr="00197FAD">
        <w:t>which includes reference to reproductive coercion. Findings from the research are expected to inform sensitive enquiry mechanisms and support clinical communications with clients.</w:t>
      </w:r>
      <w:r>
        <w:t xml:space="preserve"> </w:t>
      </w:r>
    </w:p>
    <w:p w14:paraId="5A8D1E36" w14:textId="0526647D" w:rsidR="00BC5B2C" w:rsidRDefault="00BC5B2C" w:rsidP="00D0581F">
      <w:pPr>
        <w:spacing w:before="240" w:after="240"/>
      </w:pPr>
      <w:r>
        <w:t xml:space="preserve">Marie Stopes Australia is working in </w:t>
      </w:r>
      <w:r w:rsidR="00AD01E0">
        <w:t xml:space="preserve">a </w:t>
      </w:r>
      <w:r>
        <w:t xml:space="preserve">partnership between University of Melbourne, Griffith University, University of Queensland, Children by Choice to consider trends in reproductive coercion. Findings from this research </w:t>
      </w:r>
      <w:r w:rsidR="23FF36A9">
        <w:t>are</w:t>
      </w:r>
      <w:r>
        <w:t xml:space="preserve"> expected to inform sensitive enquiry mechanisms and increase understandings where prevention and intervention opportunities may arise.</w:t>
      </w:r>
    </w:p>
    <w:p w14:paraId="4B1445EB" w14:textId="7F83927D" w:rsidR="00EC4CC0" w:rsidRDefault="00BC5B2C" w:rsidP="00D0581F">
      <w:pPr>
        <w:spacing w:before="240" w:after="240"/>
      </w:pPr>
      <w:r>
        <w:t>Over the past two years</w:t>
      </w:r>
      <w:r w:rsidR="7D1F0C26">
        <w:t>,</w:t>
      </w:r>
      <w:r>
        <w:t xml:space="preserve"> it has become clear that contributing to the evidence base can only be done in partnership with other service providers, </w:t>
      </w:r>
      <w:proofErr w:type="gramStart"/>
      <w:r>
        <w:t>academics</w:t>
      </w:r>
      <w:proofErr w:type="gramEnd"/>
      <w:r>
        <w:t xml:space="preserve"> and community</w:t>
      </w:r>
      <w:r w:rsidR="11D95C29">
        <w:t>-</w:t>
      </w:r>
      <w:r>
        <w:t xml:space="preserve">based advocacy organisations. Thank you to </w:t>
      </w:r>
      <w:proofErr w:type="gramStart"/>
      <w:r>
        <w:t>all of</w:t>
      </w:r>
      <w:proofErr w:type="gramEnd"/>
      <w:r>
        <w:t xml:space="preserve"> the organisations who have collaborated to build and share ev</w:t>
      </w:r>
      <w:r w:rsidR="00970C10">
        <w:t>idence on reproductive coercion, most of whom have done so without access to research grants. Additional resourcing and investment in reproductive coercion research will be required to continue to build understandings of effective reproductive coercion prevention and response mechanisms.</w:t>
      </w:r>
    </w:p>
    <w:p w14:paraId="7597C60F" w14:textId="77777777" w:rsidR="00EC4CC0" w:rsidRDefault="00EC4CC0">
      <w:pPr>
        <w:spacing w:after="160" w:line="259" w:lineRule="auto"/>
      </w:pPr>
      <w:r>
        <w:br w:type="page"/>
      </w:r>
    </w:p>
    <w:p w14:paraId="5251531B" w14:textId="2BF49DEB" w:rsidR="00025574" w:rsidRDefault="00025574" w:rsidP="00D0581F">
      <w:pPr>
        <w:pStyle w:val="Heading2"/>
      </w:pPr>
      <w:bookmarkStart w:id="141" w:name="_Toc57368612"/>
      <w:r>
        <w:lastRenderedPageBreak/>
        <w:t>Advocate for change</w:t>
      </w:r>
      <w:bookmarkEnd w:id="141"/>
    </w:p>
    <w:p w14:paraId="3A33B055" w14:textId="77777777" w:rsidR="00581A5E" w:rsidRPr="00A618BE" w:rsidRDefault="00581A5E" w:rsidP="00D0581F">
      <w:r w:rsidRPr="00A618BE">
        <w:t>That Marie Stopes Australia continues to engage in advocacy work that aims to reform and expand SRHR services and support across Australia through:</w:t>
      </w:r>
    </w:p>
    <w:p w14:paraId="6C006D3D" w14:textId="32100CB4" w:rsidR="00581A5E" w:rsidRPr="00A618BE" w:rsidRDefault="00581A5E" w:rsidP="00D0581F">
      <w:pPr>
        <w:pStyle w:val="ListParagraph"/>
        <w:numPr>
          <w:ilvl w:val="0"/>
          <w:numId w:val="38"/>
        </w:numPr>
        <w:spacing w:before="240" w:after="240"/>
      </w:pPr>
      <w:r w:rsidRPr="00A618BE">
        <w:t xml:space="preserve">Political advocacy work that builds the case for </w:t>
      </w:r>
      <w:r w:rsidR="00714C25">
        <w:t>r</w:t>
      </w:r>
      <w:r w:rsidR="00714C25" w:rsidRPr="00A618BE">
        <w:t xml:space="preserve">eproductive </w:t>
      </w:r>
      <w:r w:rsidR="00714C25">
        <w:t>c</w:t>
      </w:r>
      <w:r w:rsidR="00714C25" w:rsidRPr="00A618BE">
        <w:t>oercion</w:t>
      </w:r>
      <w:r w:rsidRPr="00A618BE">
        <w:t>, and more broadly SRHR, as a key health priority for governments across Australia.</w:t>
      </w:r>
    </w:p>
    <w:p w14:paraId="14A6A73A" w14:textId="2CC41D2D" w:rsidR="00025574" w:rsidRPr="00A618BE" w:rsidRDefault="00581A5E" w:rsidP="00D0581F">
      <w:pPr>
        <w:pStyle w:val="ListParagraph"/>
        <w:numPr>
          <w:ilvl w:val="0"/>
          <w:numId w:val="38"/>
        </w:numPr>
        <w:spacing w:before="240" w:after="240"/>
      </w:pPr>
      <w:r w:rsidRPr="00A618BE">
        <w:t>Lobbying for key reforms including the development of a national SRHR Strategy and federal reform to increase access to services, including abortion care and contraception.</w:t>
      </w:r>
    </w:p>
    <w:p w14:paraId="2D7D6C0E" w14:textId="7AA01246" w:rsidR="00025574" w:rsidRDefault="00581A5E" w:rsidP="00D0581F">
      <w:pPr>
        <w:pStyle w:val="ListParagraph"/>
        <w:numPr>
          <w:ilvl w:val="0"/>
          <w:numId w:val="38"/>
        </w:numPr>
        <w:spacing w:before="240" w:after="240"/>
      </w:pPr>
      <w:r w:rsidRPr="00A618BE">
        <w:t xml:space="preserve">Continuing to publicly advocate for further law reform to ensure abortion is decriminalised across Australia and is considered a key healthcare issue as opposed to a criminal matter. </w:t>
      </w:r>
    </w:p>
    <w:p w14:paraId="58A02A70" w14:textId="6F375218" w:rsidR="00581A5E" w:rsidRDefault="00025574" w:rsidP="00D0581F">
      <w:pPr>
        <w:pStyle w:val="ListParagraph"/>
        <w:numPr>
          <w:ilvl w:val="0"/>
          <w:numId w:val="38"/>
        </w:numPr>
        <w:spacing w:before="240" w:after="240"/>
      </w:pPr>
      <w:r>
        <w:t xml:space="preserve">A </w:t>
      </w:r>
      <w:r w:rsidR="00581A5E">
        <w:t>submission to the WHO to amend the ICD coding that will enable better data capture of abortion procedures across health systems globally</w:t>
      </w:r>
      <w:r>
        <w:t>. O</w:t>
      </w:r>
      <w:r w:rsidR="00581A5E">
        <w:t>utline the need for the coding amendment to assist in the understanding of the prevalence of abortion and how countries can use the data to better plan provision of services.</w:t>
      </w:r>
      <w:r>
        <w:t xml:space="preserve"> </w:t>
      </w:r>
      <w:r w:rsidR="00581A5E">
        <w:t xml:space="preserve">Identify the link between abortion access and </w:t>
      </w:r>
      <w:r w:rsidR="00194CC8">
        <w:t>r</w:t>
      </w:r>
      <w:r w:rsidR="00194CC8" w:rsidRPr="00A618BE">
        <w:t xml:space="preserve">eproductive </w:t>
      </w:r>
      <w:r w:rsidR="00194CC8">
        <w:t>c</w:t>
      </w:r>
      <w:r w:rsidR="00194CC8" w:rsidRPr="00A618BE">
        <w:t>oercion</w:t>
      </w:r>
      <w:r w:rsidR="00194CC8">
        <w:t xml:space="preserve"> </w:t>
      </w:r>
      <w:proofErr w:type="gramStart"/>
      <w:r w:rsidR="00581A5E">
        <w:t>so as to</w:t>
      </w:r>
      <w:proofErr w:type="gramEnd"/>
      <w:r w:rsidR="00581A5E">
        <w:t xml:space="preserve"> better target intervention and response efforts. </w:t>
      </w:r>
    </w:p>
    <w:p w14:paraId="5CC200DE" w14:textId="401951F7" w:rsidR="00DB1C3A" w:rsidRPr="00BE4A29" w:rsidRDefault="00DB1C3A" w:rsidP="00D0581F">
      <w:pPr>
        <w:spacing w:before="240" w:after="240"/>
        <w:rPr>
          <w:b/>
        </w:rPr>
      </w:pPr>
      <w:r w:rsidRPr="00BE4A29">
        <w:rPr>
          <w:b/>
        </w:rPr>
        <w:t xml:space="preserve">Progress on </w:t>
      </w:r>
      <w:r>
        <w:rPr>
          <w:b/>
        </w:rPr>
        <w:t>advocating for change</w:t>
      </w:r>
      <w:r w:rsidRPr="00BE4A29">
        <w:rPr>
          <w:b/>
        </w:rPr>
        <w:t xml:space="preserve"> </w:t>
      </w:r>
    </w:p>
    <w:p w14:paraId="49A580F6" w14:textId="46A3DCFF" w:rsidR="00170C86" w:rsidRDefault="00170C86" w:rsidP="00D0581F">
      <w:pPr>
        <w:autoSpaceDE w:val="0"/>
        <w:autoSpaceDN w:val="0"/>
        <w:adjustRightInd w:val="0"/>
      </w:pPr>
      <w:r>
        <w:t>Over the two years</w:t>
      </w:r>
      <w:r w:rsidR="1FA5D747">
        <w:t>,</w:t>
      </w:r>
      <w:r>
        <w:t xml:space="preserve"> Marie Stopes Australia continued to advocate for</w:t>
      </w:r>
      <w:r w:rsidR="00B351F3">
        <w:t xml:space="preserve"> sexual and reproductive health, </w:t>
      </w:r>
      <w:proofErr w:type="gramStart"/>
      <w:r>
        <w:t>rights</w:t>
      </w:r>
      <w:proofErr w:type="gramEnd"/>
      <w:r w:rsidR="00B351F3">
        <w:t xml:space="preserve"> and justice</w:t>
      </w:r>
      <w:r>
        <w:t xml:space="preserve">. </w:t>
      </w:r>
      <w:r w:rsidR="00B351F3">
        <w:t>During that time</w:t>
      </w:r>
      <w:r w:rsidR="1A141F20">
        <w:t>,</w:t>
      </w:r>
      <w:r w:rsidR="00B351F3">
        <w:t xml:space="preserve"> </w:t>
      </w:r>
      <w:r>
        <w:t xml:space="preserve">Marie Stopes Australia staff contributed to 200 media interviews, over 20 conference presentations, 6 academic papers, 12 policy submissions and 2 policy papers. </w:t>
      </w:r>
      <w:r w:rsidR="00B351F3">
        <w:t>It is a collaborative effort</w:t>
      </w:r>
      <w:r w:rsidR="47AC3C88">
        <w:t>;</w:t>
      </w:r>
      <w:r w:rsidR="00B351F3">
        <w:t xml:space="preserve"> advocacy work is undertaken </w:t>
      </w:r>
      <w:r w:rsidR="00026A95">
        <w:t>across</w:t>
      </w:r>
      <w:r w:rsidR="00B351F3">
        <w:t xml:space="preserve"> the health sector and with various community stakeholders who have been seminal in various campaigns focused on women’s rights and equality, human rights, LGBTIQ+ rights, decolonisation and safe access to healthcare for all.</w:t>
      </w:r>
    </w:p>
    <w:p w14:paraId="29311FD7" w14:textId="572785C4" w:rsidR="00B351F3" w:rsidRDefault="00170C86" w:rsidP="00D0581F">
      <w:pPr>
        <w:autoSpaceDE w:val="0"/>
        <w:autoSpaceDN w:val="0"/>
        <w:adjustRightInd w:val="0"/>
      </w:pPr>
      <w:r>
        <w:t xml:space="preserve">Since </w:t>
      </w:r>
      <w:r w:rsidRPr="00EC4CC0">
        <w:rPr>
          <w:i/>
          <w:iCs/>
        </w:rPr>
        <w:t>Hidden F</w:t>
      </w:r>
      <w:r w:rsidR="00B351F3" w:rsidRPr="00EC4CC0">
        <w:rPr>
          <w:i/>
          <w:iCs/>
        </w:rPr>
        <w:t>orces</w:t>
      </w:r>
      <w:r w:rsidR="00B351F3">
        <w:t xml:space="preserve"> was published</w:t>
      </w:r>
      <w:r w:rsidR="59FEA816">
        <w:t>,</w:t>
      </w:r>
      <w:r w:rsidR="00B351F3">
        <w:t xml:space="preserve"> law reforms have been extensive. A</w:t>
      </w:r>
      <w:r>
        <w:t>bortion has been decriminalised in NSW and the ACT</w:t>
      </w:r>
      <w:r w:rsidR="00B351F3">
        <w:t>. S</w:t>
      </w:r>
      <w:r>
        <w:t xml:space="preserve">afe access zones have been implemented in NSW and SA. WA is </w:t>
      </w:r>
      <w:r w:rsidR="00B351F3">
        <w:t xml:space="preserve">now </w:t>
      </w:r>
      <w:r>
        <w:t xml:space="preserve">the </w:t>
      </w:r>
      <w:r w:rsidR="00B351F3">
        <w:t>only</w:t>
      </w:r>
      <w:r>
        <w:t xml:space="preserve"> state without safe access zones, and SA is the only state where abortion remains in the criminal code. Both states have upcoming opportunities for law reform, with </w:t>
      </w:r>
      <w:r w:rsidR="00B351F3">
        <w:t xml:space="preserve">national decriminalisation and national safe access possible in the coming year. </w:t>
      </w:r>
    </w:p>
    <w:p w14:paraId="39FAF7F1" w14:textId="0E31D54B" w:rsidR="00B351F3" w:rsidRDefault="00B351F3" w:rsidP="00D0581F">
      <w:pPr>
        <w:autoSpaceDE w:val="0"/>
        <w:autoSpaceDN w:val="0"/>
        <w:adjustRightInd w:val="0"/>
      </w:pPr>
      <w:proofErr w:type="gramStart"/>
      <w:r>
        <w:t>Following law reforms for decriminalisation and safe access, there</w:t>
      </w:r>
      <w:proofErr w:type="gramEnd"/>
      <w:r>
        <w:t xml:space="preserve"> is still much work to be done to ensure access and equity for all people in Australia. The need for regional and remote access prompts ongoing investigation into various forms of care including nurse and midwifery-led care, Aboriginal and Torres Strait Islander health worker led-care, community-led </w:t>
      </w:r>
      <w:proofErr w:type="gramStart"/>
      <w:r>
        <w:t>care</w:t>
      </w:r>
      <w:proofErr w:type="gramEnd"/>
      <w:r>
        <w:t xml:space="preserve"> and self-administered care. These evolving models of care will require ongoing legislative and policy reforms.</w:t>
      </w:r>
    </w:p>
    <w:p w14:paraId="5ACBB09C" w14:textId="77777777" w:rsidR="00EC4CC0" w:rsidRDefault="00170C86" w:rsidP="00D0581F">
      <w:r>
        <w:t xml:space="preserve">The current ICD-11 was published in early 2019 and will come into effect in 2022. ICD-12 will be the next opportunity for coding review. </w:t>
      </w:r>
    </w:p>
    <w:p w14:paraId="1EF3ACA8" w14:textId="37412F98" w:rsidR="00170C86" w:rsidRDefault="00170C86" w:rsidP="00D0581F">
      <w:r>
        <w:lastRenderedPageBreak/>
        <w:t>Marie Stopes Australia will offer support to Australian members of the ICD Review Steering Group to open dialogue on sexual and reproductive health reforms.</w:t>
      </w:r>
    </w:p>
    <w:p w14:paraId="38880522" w14:textId="5EF1AC3D" w:rsidR="00CF5562" w:rsidRPr="00A618BE" w:rsidRDefault="00CF5562" w:rsidP="00D0581F">
      <w:r>
        <w:t xml:space="preserve">Reproductive coercion is not yet recognised in the National Plan to </w:t>
      </w:r>
      <w:r w:rsidR="00164776">
        <w:t>Reduce</w:t>
      </w:r>
      <w:r>
        <w:t xml:space="preserve"> Violence Against Women in their Children. As the Second National Plan will be drafted in the coming year, it is critical that the Australian Government commits to embedding reproductive coercion prevention and response in our violence prevention and response policy and practice.</w:t>
      </w:r>
    </w:p>
    <w:p w14:paraId="64986A34" w14:textId="7CC9C010" w:rsidR="00DB1C3A" w:rsidRPr="00196A57" w:rsidRDefault="0050413A" w:rsidP="00D0581F">
      <w:r>
        <w:t xml:space="preserve">Reproductive coercion is a concept that is constantly evolving. </w:t>
      </w:r>
      <w:r w:rsidR="00CF5562">
        <w:t xml:space="preserve">Our understandings of reproductive </w:t>
      </w:r>
      <w:r w:rsidR="001F434A">
        <w:t>ab</w:t>
      </w:r>
      <w:r w:rsidR="00AF7D2A">
        <w:t xml:space="preserve">use, coercion, </w:t>
      </w:r>
      <w:proofErr w:type="gramStart"/>
      <w:r w:rsidR="001F434A">
        <w:t>autonomy</w:t>
      </w:r>
      <w:proofErr w:type="gramEnd"/>
      <w:r w:rsidR="00AF7D2A">
        <w:t xml:space="preserve"> and justice</w:t>
      </w:r>
      <w:r>
        <w:t xml:space="preserve"> are expanding, alongside evolving models of clinical care.</w:t>
      </w:r>
      <w:r w:rsidR="00CF5562">
        <w:t xml:space="preserve"> Marie Stopes Australia commits to reviewing the content of </w:t>
      </w:r>
      <w:r w:rsidR="00CF5562" w:rsidRPr="00EC4CC0">
        <w:rPr>
          <w:i/>
          <w:iCs/>
        </w:rPr>
        <w:t>Hidden Forces</w:t>
      </w:r>
      <w:r w:rsidR="00CF5562">
        <w:t xml:space="preserve"> in 2022. The review will include further consultation with community organisations and community groups </w:t>
      </w:r>
      <w:r w:rsidR="00291E16">
        <w:t>who</w:t>
      </w:r>
      <w:r w:rsidR="00CF5562">
        <w:t xml:space="preserve"> have been long term advocates for self-determination in healthcare, sexual and reproductive </w:t>
      </w:r>
      <w:proofErr w:type="gramStart"/>
      <w:r w:rsidR="00CF5562">
        <w:t>autonomy</w:t>
      </w:r>
      <w:proofErr w:type="gramEnd"/>
      <w:r w:rsidR="00CF5562">
        <w:t xml:space="preserve"> and health systems reforms. </w:t>
      </w:r>
    </w:p>
    <w:p w14:paraId="58872EE9" w14:textId="77777777" w:rsidR="00581A5E" w:rsidRPr="00A618BE" w:rsidRDefault="00581A5E" w:rsidP="00D0581F"/>
    <w:p w14:paraId="551F8712" w14:textId="77777777" w:rsidR="00581A5E" w:rsidRPr="00A618BE" w:rsidRDefault="00581A5E" w:rsidP="00D0581F">
      <w:r w:rsidRPr="00A618BE">
        <w:br w:type="page"/>
      </w:r>
    </w:p>
    <w:p w14:paraId="358DA2FE" w14:textId="001F4A84" w:rsidR="00581A5E" w:rsidRPr="00A618BE" w:rsidRDefault="00D231C5" w:rsidP="00D0581F">
      <w:pPr>
        <w:pStyle w:val="Heading1"/>
        <w:spacing w:line="276" w:lineRule="auto"/>
      </w:pPr>
      <w:bookmarkStart w:id="142" w:name="_Toc530573381"/>
      <w:bookmarkStart w:id="143" w:name="_Toc57368613"/>
      <w:r>
        <w:lastRenderedPageBreak/>
        <w:t xml:space="preserve">10. </w:t>
      </w:r>
      <w:bookmarkEnd w:id="142"/>
      <w:r w:rsidRPr="00A618BE">
        <w:t>A</w:t>
      </w:r>
      <w:r>
        <w:t>cknowledgements</w:t>
      </w:r>
      <w:bookmarkEnd w:id="143"/>
    </w:p>
    <w:p w14:paraId="15B2C1DE" w14:textId="13ACEDFE" w:rsidR="00581A5E" w:rsidRPr="00A618BE" w:rsidRDefault="00581A5E" w:rsidP="00D0581F">
      <w:r w:rsidRPr="00A618BE">
        <w:t xml:space="preserve">Marie Stopes Australia wishes to acknowledge and thank </w:t>
      </w:r>
      <w:proofErr w:type="gramStart"/>
      <w:r w:rsidRPr="00A618BE">
        <w:t>all of</w:t>
      </w:r>
      <w:proofErr w:type="gramEnd"/>
      <w:r w:rsidRPr="00A618BE">
        <w:t xml:space="preserve"> the organisations and individuals who contributed their knowledge and expertise to </w:t>
      </w:r>
      <w:r w:rsidR="00714C25" w:rsidRPr="00EC4CC0">
        <w:rPr>
          <w:i/>
          <w:iCs/>
        </w:rPr>
        <w:t>Hidden Forces</w:t>
      </w:r>
      <w:r w:rsidRPr="00A618BE">
        <w:t xml:space="preserve">: </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026"/>
      </w:tblGrid>
      <w:tr w:rsidR="00714C25" w:rsidRPr="00A618BE" w14:paraId="6EE46E1C" w14:textId="77777777" w:rsidTr="00BE4A29">
        <w:trPr>
          <w:trHeight w:val="3332"/>
        </w:trPr>
        <w:tc>
          <w:tcPr>
            <w:tcW w:w="9026" w:type="dxa"/>
          </w:tcPr>
          <w:p w14:paraId="7811195D" w14:textId="234CE07C" w:rsidR="00714C25" w:rsidRDefault="00714C25" w:rsidP="00D0581F">
            <w:r w:rsidRPr="00A618BE">
              <w:t>Alison Chambers</w:t>
            </w:r>
          </w:p>
          <w:p w14:paraId="4306EB83" w14:textId="77777777" w:rsidR="00714C25" w:rsidRPr="006074AF" w:rsidRDefault="00714C25" w:rsidP="00D0581F">
            <w:r>
              <w:t>Angela Williamson</w:t>
            </w:r>
          </w:p>
          <w:p w14:paraId="7B85DBA0" w14:textId="77777777" w:rsidR="00714C25" w:rsidRPr="00A618BE" w:rsidRDefault="00714C25" w:rsidP="00D0581F">
            <w:pPr>
              <w:rPr>
                <w:b/>
                <w:sz w:val="44"/>
              </w:rPr>
            </w:pPr>
            <w:r w:rsidRPr="00A618BE">
              <w:t>Australia’s National Research Organisation for Women’s Safety (ANROWS)</w:t>
            </w:r>
          </w:p>
          <w:p w14:paraId="59477D90" w14:textId="331DFA1E" w:rsidR="00714C25" w:rsidRPr="00A618BE" w:rsidRDefault="00714C25" w:rsidP="00D0581F">
            <w:pPr>
              <w:rPr>
                <w:b/>
                <w:sz w:val="44"/>
              </w:rPr>
            </w:pPr>
            <w:r w:rsidRPr="00A618BE">
              <w:t>Australian Medical Association</w:t>
            </w:r>
            <w:r w:rsidR="0060633B">
              <w:t xml:space="preserve"> (AMA)</w:t>
            </w:r>
          </w:p>
          <w:p w14:paraId="26A8E1A5" w14:textId="21B067EC" w:rsidR="00714C25" w:rsidRPr="00A618BE" w:rsidRDefault="00714C25" w:rsidP="00D0581F">
            <w:pPr>
              <w:rPr>
                <w:b/>
                <w:sz w:val="44"/>
              </w:rPr>
            </w:pPr>
            <w:r w:rsidRPr="00A618BE">
              <w:t>Australian Women Against Violence Alliance</w:t>
            </w:r>
            <w:r>
              <w:t xml:space="preserve"> (AWAVA)</w:t>
            </w:r>
          </w:p>
          <w:p w14:paraId="37E532BC" w14:textId="5F1DD7D7" w:rsidR="00714C25" w:rsidRPr="00A618BE" w:rsidRDefault="00714C25" w:rsidP="00D0581F">
            <w:pPr>
              <w:rPr>
                <w:b/>
                <w:sz w:val="44"/>
              </w:rPr>
            </w:pPr>
            <w:r w:rsidRPr="00A618BE">
              <w:t>Australian Women’s Health Network</w:t>
            </w:r>
            <w:r>
              <w:t xml:space="preserve"> (AWHN)</w:t>
            </w:r>
          </w:p>
          <w:p w14:paraId="6ED82E2F" w14:textId="77777777" w:rsidR="00714C25" w:rsidRPr="00A618BE" w:rsidRDefault="00714C25" w:rsidP="00D0581F">
            <w:r w:rsidRPr="00A618BE">
              <w:t>Professor Caroline de Costa AM MBBS BA PhD MPH FRANZCOG FRCOG</w:t>
            </w:r>
          </w:p>
          <w:p w14:paraId="7670C3BF" w14:textId="77777777" w:rsidR="00714C25" w:rsidRPr="00A618BE" w:rsidRDefault="00714C25" w:rsidP="00D0581F">
            <w:pPr>
              <w:rPr>
                <w:b/>
                <w:sz w:val="44"/>
              </w:rPr>
            </w:pPr>
            <w:r w:rsidRPr="00A618BE">
              <w:t>CASA House: The Royal Women’s Hospital</w:t>
            </w:r>
          </w:p>
          <w:p w14:paraId="5F126E32" w14:textId="77777777" w:rsidR="00714C25" w:rsidRPr="00A618BE" w:rsidRDefault="00714C25" w:rsidP="00D0581F">
            <w:pPr>
              <w:rPr>
                <w:b/>
                <w:sz w:val="44"/>
              </w:rPr>
            </w:pPr>
            <w:r w:rsidRPr="00A618BE">
              <w:t>Catholic Women’s League Australian Inc.</w:t>
            </w:r>
          </w:p>
          <w:p w14:paraId="611A5F16" w14:textId="77777777" w:rsidR="00714C25" w:rsidRPr="00A618BE" w:rsidRDefault="00714C25" w:rsidP="00D0581F">
            <w:pPr>
              <w:rPr>
                <w:b/>
                <w:sz w:val="44"/>
              </w:rPr>
            </w:pPr>
            <w:r w:rsidRPr="00A618BE">
              <w:t>Dr Catriona Melville, Marie Stopes Australia</w:t>
            </w:r>
          </w:p>
          <w:p w14:paraId="4BBEB08C" w14:textId="77777777" w:rsidR="00714C25" w:rsidRPr="00A618BE" w:rsidRDefault="00714C25" w:rsidP="00D0581F">
            <w:pPr>
              <w:rPr>
                <w:b/>
                <w:sz w:val="44"/>
              </w:rPr>
            </w:pPr>
            <w:r w:rsidRPr="00A618BE">
              <w:t>Children by Choice</w:t>
            </w:r>
          </w:p>
          <w:p w14:paraId="6D87D7BA" w14:textId="77777777" w:rsidR="00714C25" w:rsidRPr="00A618BE" w:rsidRDefault="00714C25" w:rsidP="00D0581F">
            <w:pPr>
              <w:rPr>
                <w:b/>
                <w:sz w:val="44"/>
              </w:rPr>
            </w:pPr>
            <w:r w:rsidRPr="00A618BE">
              <w:t>Dani Fried</w:t>
            </w:r>
          </w:p>
          <w:p w14:paraId="0F6BF7DB" w14:textId="77777777" w:rsidR="00714C25" w:rsidRPr="00A618BE" w:rsidRDefault="00714C25" w:rsidP="00D0581F">
            <w:pPr>
              <w:rPr>
                <w:b/>
                <w:sz w:val="44"/>
              </w:rPr>
            </w:pPr>
            <w:r w:rsidRPr="00A618BE">
              <w:t xml:space="preserve">Domestic Violence Australia </w:t>
            </w:r>
          </w:p>
          <w:p w14:paraId="3C1034A5" w14:textId="77777777" w:rsidR="00714C25" w:rsidRPr="00A618BE" w:rsidRDefault="00714C25" w:rsidP="00D0581F">
            <w:pPr>
              <w:rPr>
                <w:b/>
                <w:sz w:val="44"/>
              </w:rPr>
            </w:pPr>
            <w:r w:rsidRPr="00A618BE">
              <w:t xml:space="preserve">Domestic Violence Victoria </w:t>
            </w:r>
          </w:p>
          <w:p w14:paraId="54C07E99" w14:textId="77777777" w:rsidR="00714C25" w:rsidRPr="00A618BE" w:rsidRDefault="00714C25" w:rsidP="00D0581F">
            <w:pPr>
              <w:rPr>
                <w:b/>
                <w:sz w:val="44"/>
              </w:rPr>
            </w:pPr>
            <w:r w:rsidRPr="00A618BE">
              <w:t>Eastern Metropolitan Region Sexual &amp; Reproductive Health Strategic Reference Group</w:t>
            </w:r>
          </w:p>
          <w:p w14:paraId="77C5998E" w14:textId="22046A77" w:rsidR="00714C25" w:rsidRPr="00A618BE" w:rsidRDefault="00714C25" w:rsidP="00D0581F">
            <w:pPr>
              <w:rPr>
                <w:b/>
                <w:sz w:val="44"/>
              </w:rPr>
            </w:pPr>
            <w:r w:rsidRPr="00A618BE">
              <w:t>Economic S</w:t>
            </w:r>
            <w:r w:rsidR="0060633B">
              <w:t xml:space="preserve">ecurity </w:t>
            </w:r>
            <w:r w:rsidRPr="00A618BE">
              <w:t>4</w:t>
            </w:r>
            <w:r w:rsidR="0060633B">
              <w:t xml:space="preserve"> </w:t>
            </w:r>
            <w:r w:rsidRPr="00A618BE">
              <w:t>W</w:t>
            </w:r>
            <w:r w:rsidR="0060633B">
              <w:t>omen</w:t>
            </w:r>
          </w:p>
          <w:p w14:paraId="72A0E4F4" w14:textId="77777777" w:rsidR="00714C25" w:rsidRPr="00A618BE" w:rsidRDefault="00714C25" w:rsidP="00D0581F">
            <w:pPr>
              <w:rPr>
                <w:b/>
                <w:sz w:val="44"/>
              </w:rPr>
            </w:pPr>
            <w:r w:rsidRPr="00A618BE">
              <w:t>Equality Rights Alliance</w:t>
            </w:r>
          </w:p>
          <w:p w14:paraId="217C54F6" w14:textId="77777777" w:rsidR="00714C25" w:rsidRPr="00A618BE" w:rsidRDefault="00714C25" w:rsidP="00D0581F">
            <w:pPr>
              <w:rPr>
                <w:b/>
                <w:sz w:val="44"/>
              </w:rPr>
            </w:pPr>
            <w:r w:rsidRPr="00A618BE">
              <w:t>Gippsland Women’s Health</w:t>
            </w:r>
          </w:p>
          <w:p w14:paraId="39D41FA2" w14:textId="77777777" w:rsidR="00714C25" w:rsidRPr="00A618BE" w:rsidRDefault="00714C25" w:rsidP="00D0581F">
            <w:pPr>
              <w:rPr>
                <w:b/>
                <w:sz w:val="44"/>
              </w:rPr>
            </w:pPr>
            <w:r w:rsidRPr="00A618BE">
              <w:t xml:space="preserve">Glenn </w:t>
            </w:r>
            <w:proofErr w:type="spellStart"/>
            <w:r w:rsidRPr="00A618BE">
              <w:t>Buesnel</w:t>
            </w:r>
            <w:proofErr w:type="spellEnd"/>
            <w:r w:rsidRPr="00A618BE">
              <w:t>-May</w:t>
            </w:r>
          </w:p>
          <w:p w14:paraId="19CE6185" w14:textId="77777777" w:rsidR="00714C25" w:rsidRPr="00A618BE" w:rsidRDefault="00714C25" w:rsidP="00D0581F">
            <w:pPr>
              <w:rPr>
                <w:b/>
                <w:sz w:val="44"/>
              </w:rPr>
            </w:pPr>
            <w:r w:rsidRPr="00A618BE">
              <w:t>Harmony Alliance</w:t>
            </w:r>
          </w:p>
          <w:p w14:paraId="1D7FF2BA" w14:textId="77777777" w:rsidR="00714C25" w:rsidRPr="00A618BE" w:rsidRDefault="00714C25" w:rsidP="00D0581F">
            <w:pPr>
              <w:rPr>
                <w:b/>
                <w:sz w:val="44"/>
              </w:rPr>
            </w:pPr>
            <w:r w:rsidRPr="00A618BE">
              <w:t>Dr Heather Rowe, Senior Research Fellow Global Public Health, Monash University</w:t>
            </w:r>
          </w:p>
          <w:p w14:paraId="508F8104" w14:textId="77777777" w:rsidR="00714C25" w:rsidRPr="00A618BE" w:rsidRDefault="00714C25" w:rsidP="00D0581F">
            <w:pPr>
              <w:rPr>
                <w:b/>
                <w:sz w:val="44"/>
              </w:rPr>
            </w:pPr>
            <w:r w:rsidRPr="00A618BE">
              <w:t>Jennifer Davidson</w:t>
            </w:r>
          </w:p>
          <w:p w14:paraId="2C55602E" w14:textId="77777777" w:rsidR="00714C25" w:rsidRPr="00A618BE" w:rsidRDefault="00714C25" w:rsidP="00D0581F">
            <w:pPr>
              <w:rPr>
                <w:b/>
                <w:sz w:val="44"/>
              </w:rPr>
            </w:pPr>
            <w:r w:rsidRPr="00A618BE">
              <w:t>Judith Lumley Centre for Mother, Infant and Family Health Research, Latrobe University</w:t>
            </w:r>
          </w:p>
          <w:p w14:paraId="62578380" w14:textId="77777777" w:rsidR="00714C25" w:rsidRPr="00A618BE" w:rsidRDefault="00714C25" w:rsidP="00D0581F">
            <w:pPr>
              <w:rPr>
                <w:b/>
                <w:sz w:val="44"/>
              </w:rPr>
            </w:pPr>
            <w:r w:rsidRPr="00A618BE">
              <w:t xml:space="preserve">Judy </w:t>
            </w:r>
            <w:proofErr w:type="spellStart"/>
            <w:r w:rsidRPr="00A618BE">
              <w:t>Alcock</w:t>
            </w:r>
            <w:proofErr w:type="spellEnd"/>
          </w:p>
          <w:p w14:paraId="525CA795" w14:textId="77777777" w:rsidR="00714C25" w:rsidRPr="00A618BE" w:rsidRDefault="00714C25" w:rsidP="00D0581F">
            <w:pPr>
              <w:rPr>
                <w:b/>
                <w:sz w:val="44"/>
              </w:rPr>
            </w:pPr>
            <w:r w:rsidRPr="00A618BE">
              <w:t xml:space="preserve">Dr Leslie </w:t>
            </w:r>
            <w:proofErr w:type="spellStart"/>
            <w:r w:rsidRPr="00A618BE">
              <w:t>Cannold</w:t>
            </w:r>
            <w:proofErr w:type="spellEnd"/>
          </w:p>
          <w:p w14:paraId="4795D00D" w14:textId="3B0AE25C" w:rsidR="00714C25" w:rsidRPr="00A618BE" w:rsidRDefault="00714C25" w:rsidP="00D0581F">
            <w:pPr>
              <w:rPr>
                <w:b/>
                <w:sz w:val="44"/>
              </w:rPr>
            </w:pPr>
            <w:r w:rsidRPr="00A618BE">
              <w:lastRenderedPageBreak/>
              <w:t>LGBTI Health Alliance</w:t>
            </w:r>
          </w:p>
          <w:p w14:paraId="595B6327" w14:textId="77777777" w:rsidR="00714C25" w:rsidRPr="00A618BE" w:rsidRDefault="00714C25" w:rsidP="00D0581F">
            <w:pPr>
              <w:rPr>
                <w:b/>
                <w:sz w:val="44"/>
              </w:rPr>
            </w:pPr>
            <w:r w:rsidRPr="00A618BE">
              <w:t>Professor Lou Harms</w:t>
            </w:r>
          </w:p>
          <w:p w14:paraId="21F7C69B" w14:textId="77777777" w:rsidR="00714C25" w:rsidRPr="00A618BE" w:rsidRDefault="00714C25" w:rsidP="00D0581F">
            <w:pPr>
              <w:rPr>
                <w:b/>
                <w:sz w:val="44"/>
              </w:rPr>
            </w:pPr>
            <w:r w:rsidRPr="00A618BE">
              <w:t xml:space="preserve">Lyn </w:t>
            </w:r>
            <w:proofErr w:type="spellStart"/>
            <w:r w:rsidRPr="00A618BE">
              <w:t>Howlin</w:t>
            </w:r>
            <w:proofErr w:type="spellEnd"/>
          </w:p>
          <w:p w14:paraId="398AF051" w14:textId="3950D04D" w:rsidR="00714C25" w:rsidRPr="00A618BE" w:rsidRDefault="00714C25" w:rsidP="00D0581F">
            <w:pPr>
              <w:rPr>
                <w:b/>
                <w:sz w:val="44"/>
              </w:rPr>
            </w:pPr>
            <w:r w:rsidRPr="00A618BE">
              <w:t>Multicultural Centre for Women’s Health</w:t>
            </w:r>
            <w:r w:rsidR="00EC4CC0">
              <w:t xml:space="preserve"> (MCWH)</w:t>
            </w:r>
          </w:p>
          <w:p w14:paraId="7772D8BB" w14:textId="7447C532" w:rsidR="00714C25" w:rsidRPr="004378DF" w:rsidRDefault="00714C25" w:rsidP="00D0581F">
            <w:pPr>
              <w:rPr>
                <w:b/>
                <w:sz w:val="44"/>
              </w:rPr>
            </w:pPr>
            <w:r w:rsidRPr="00A618BE">
              <w:t>National Aboriginal and Torres Strait Islander Women’s Alliance</w:t>
            </w:r>
            <w:r w:rsidR="0060633B">
              <w:t xml:space="preserve"> (NATSIWA)</w:t>
            </w:r>
          </w:p>
          <w:p w14:paraId="139DBFA7" w14:textId="22321C42" w:rsidR="00714C25" w:rsidRPr="00A618BE" w:rsidRDefault="00714C25" w:rsidP="00D0581F">
            <w:pPr>
              <w:rPr>
                <w:b/>
                <w:sz w:val="44"/>
              </w:rPr>
            </w:pPr>
            <w:r w:rsidRPr="00A618BE">
              <w:t>National Foundation for Australian Women</w:t>
            </w:r>
          </w:p>
          <w:p w14:paraId="7051F9D3" w14:textId="7FB60C47" w:rsidR="00714C25" w:rsidRPr="00A618BE" w:rsidRDefault="00714C25" w:rsidP="00D0581F">
            <w:pPr>
              <w:rPr>
                <w:b/>
                <w:sz w:val="44"/>
              </w:rPr>
            </w:pPr>
            <w:r w:rsidRPr="00A618BE">
              <w:t>National Rural Women’s Coalition</w:t>
            </w:r>
          </w:p>
          <w:p w14:paraId="13EA0B8A" w14:textId="77777777" w:rsidR="00714C25" w:rsidRPr="00A618BE" w:rsidRDefault="00714C25" w:rsidP="00D0581F">
            <w:pPr>
              <w:rPr>
                <w:b/>
                <w:sz w:val="44"/>
              </w:rPr>
            </w:pPr>
            <w:r w:rsidRPr="00A618BE">
              <w:t>No to Violence</w:t>
            </w:r>
          </w:p>
          <w:p w14:paraId="14C97897" w14:textId="77777777" w:rsidR="00714C25" w:rsidRPr="00A618BE" w:rsidRDefault="00714C25" w:rsidP="00D0581F">
            <w:pPr>
              <w:rPr>
                <w:b/>
                <w:sz w:val="44"/>
              </w:rPr>
            </w:pPr>
            <w:r w:rsidRPr="00A618BE">
              <w:t>Penrith Women’s Health Centre</w:t>
            </w:r>
          </w:p>
          <w:p w14:paraId="1023E8F6" w14:textId="77777777" w:rsidR="00714C25" w:rsidRPr="00A618BE" w:rsidRDefault="00714C25" w:rsidP="00D0581F">
            <w:pPr>
              <w:rPr>
                <w:b/>
                <w:sz w:val="44"/>
              </w:rPr>
            </w:pPr>
            <w:r w:rsidRPr="00A618BE">
              <w:t>Peta Blaisdell</w:t>
            </w:r>
          </w:p>
          <w:p w14:paraId="4CACF05F" w14:textId="77777777" w:rsidR="00714C25" w:rsidRPr="00A618BE" w:rsidRDefault="00714C25" w:rsidP="00D0581F">
            <w:pPr>
              <w:rPr>
                <w:b/>
                <w:sz w:val="44"/>
              </w:rPr>
            </w:pPr>
            <w:r w:rsidRPr="00A618BE">
              <w:t>Phillip Chambers</w:t>
            </w:r>
          </w:p>
          <w:p w14:paraId="218E3F89" w14:textId="7F5623E9" w:rsidR="00714C25" w:rsidRPr="00A618BE" w:rsidRDefault="00714C25" w:rsidP="00D0581F">
            <w:pPr>
              <w:rPr>
                <w:b/>
                <w:sz w:val="44"/>
              </w:rPr>
            </w:pPr>
            <w:r w:rsidRPr="00A618BE">
              <w:t>Public Health Association of Australia</w:t>
            </w:r>
            <w:r w:rsidR="0060633B">
              <w:t xml:space="preserve"> (PHAA)</w:t>
            </w:r>
          </w:p>
          <w:p w14:paraId="69282822" w14:textId="77777777" w:rsidR="00714C25" w:rsidRPr="00A618BE" w:rsidRDefault="00714C25" w:rsidP="00D0581F">
            <w:pPr>
              <w:rPr>
                <w:b/>
                <w:sz w:val="44"/>
              </w:rPr>
            </w:pPr>
            <w:r w:rsidRPr="00A618BE">
              <w:t>Relationships Australia</w:t>
            </w:r>
          </w:p>
          <w:p w14:paraId="4498977D" w14:textId="77777777" w:rsidR="00714C25" w:rsidRPr="00A618BE" w:rsidRDefault="00714C25" w:rsidP="00D0581F">
            <w:pPr>
              <w:rPr>
                <w:b/>
                <w:sz w:val="44"/>
              </w:rPr>
            </w:pPr>
            <w:r w:rsidRPr="00A618BE">
              <w:t>Ruth Dooley</w:t>
            </w:r>
          </w:p>
          <w:p w14:paraId="2CF868E8" w14:textId="77777777" w:rsidR="00714C25" w:rsidRPr="00A618BE" w:rsidRDefault="00714C25" w:rsidP="00D0581F">
            <w:pPr>
              <w:rPr>
                <w:b/>
                <w:sz w:val="44"/>
              </w:rPr>
            </w:pPr>
            <w:r w:rsidRPr="00A618BE">
              <w:t>Safer Families Centre of Research Excellence, University of Melbourne</w:t>
            </w:r>
          </w:p>
          <w:p w14:paraId="50DD6598" w14:textId="77777777" w:rsidR="00714C25" w:rsidRPr="00A618BE" w:rsidRDefault="00714C25" w:rsidP="00D0581F">
            <w:pPr>
              <w:rPr>
                <w:b/>
                <w:sz w:val="44"/>
              </w:rPr>
            </w:pPr>
            <w:r w:rsidRPr="00A618BE">
              <w:t>Sexual Health Quarters (SHQ) Western Australia</w:t>
            </w:r>
          </w:p>
          <w:p w14:paraId="588F65D6" w14:textId="780BEF3E" w:rsidR="00714C25" w:rsidRPr="00A618BE" w:rsidRDefault="00714C25" w:rsidP="00D0581F">
            <w:pPr>
              <w:rPr>
                <w:b/>
                <w:sz w:val="44"/>
              </w:rPr>
            </w:pPr>
            <w:r w:rsidRPr="00A618BE">
              <w:t>S</w:t>
            </w:r>
            <w:r w:rsidR="00C56F73">
              <w:t xml:space="preserve">upport </w:t>
            </w:r>
            <w:r w:rsidRPr="00A618BE">
              <w:t>H</w:t>
            </w:r>
            <w:r w:rsidR="00C56F73">
              <w:t xml:space="preserve">elp </w:t>
            </w:r>
            <w:r w:rsidRPr="00A618BE">
              <w:t>E</w:t>
            </w:r>
            <w:r w:rsidR="00C56F73">
              <w:t>mpowerment</w:t>
            </w:r>
            <w:r w:rsidRPr="00A618BE">
              <w:t xml:space="preserve"> (</w:t>
            </w:r>
            <w:r w:rsidR="00C56F73">
              <w:t>Tasmania</w:t>
            </w:r>
            <w:r w:rsidRPr="00A618BE">
              <w:t>)</w:t>
            </w:r>
          </w:p>
          <w:p w14:paraId="1042B8FB" w14:textId="24682ACD" w:rsidR="00714C25" w:rsidRPr="00A618BE" w:rsidRDefault="00714C25" w:rsidP="00D0581F">
            <w:pPr>
              <w:rPr>
                <w:b/>
                <w:sz w:val="44"/>
              </w:rPr>
            </w:pPr>
            <w:r w:rsidRPr="00A618BE">
              <w:t xml:space="preserve">True Relationships &amp; Reproductive Health </w:t>
            </w:r>
            <w:r w:rsidR="0060633B">
              <w:t>(Queensland)</w:t>
            </w:r>
          </w:p>
          <w:p w14:paraId="6ABF40C9" w14:textId="77777777" w:rsidR="00714C25" w:rsidRPr="00A618BE" w:rsidRDefault="00714C25" w:rsidP="00D0581F">
            <w:pPr>
              <w:rPr>
                <w:b/>
                <w:sz w:val="44"/>
              </w:rPr>
            </w:pPr>
            <w:r w:rsidRPr="00A618BE">
              <w:t xml:space="preserve">University </w:t>
            </w:r>
            <w:proofErr w:type="gramStart"/>
            <w:r w:rsidRPr="00A618BE">
              <w:t>Of</w:t>
            </w:r>
            <w:proofErr w:type="gramEnd"/>
            <w:r w:rsidRPr="00A618BE">
              <w:t xml:space="preserve"> Melbourne, Melbourne Research Alliance to End Violence Against Women and their Children (</w:t>
            </w:r>
            <w:proofErr w:type="spellStart"/>
            <w:r w:rsidRPr="00A618BE">
              <w:t>MAEVe</w:t>
            </w:r>
            <w:proofErr w:type="spellEnd"/>
            <w:r w:rsidRPr="00A618BE">
              <w:t>) and Centre for Family Violence Prevention</w:t>
            </w:r>
          </w:p>
          <w:p w14:paraId="4625436C" w14:textId="77777777" w:rsidR="00714C25" w:rsidRPr="00A618BE" w:rsidRDefault="00714C25" w:rsidP="00D0581F">
            <w:pPr>
              <w:rPr>
                <w:b/>
                <w:sz w:val="44"/>
              </w:rPr>
            </w:pPr>
            <w:r w:rsidRPr="00A618BE">
              <w:t>Victorian Rural Women’s Health Organisations</w:t>
            </w:r>
          </w:p>
          <w:p w14:paraId="1E986F5C" w14:textId="718768E6" w:rsidR="00714C25" w:rsidRDefault="00714C25" w:rsidP="00D0581F">
            <w:r w:rsidRPr="00A618BE">
              <w:t xml:space="preserve">White Ribbon Australia </w:t>
            </w:r>
          </w:p>
          <w:p w14:paraId="58F4F031" w14:textId="62C2F112" w:rsidR="00714C25" w:rsidRPr="00A618BE" w:rsidRDefault="00714C25" w:rsidP="00D0581F">
            <w:pPr>
              <w:rPr>
                <w:b/>
                <w:sz w:val="44"/>
              </w:rPr>
            </w:pPr>
            <w:r w:rsidRPr="00A618BE">
              <w:t>Women’s Health and Wellbeing Barwon South West</w:t>
            </w:r>
          </w:p>
          <w:p w14:paraId="47AF647D" w14:textId="77777777" w:rsidR="00714C25" w:rsidRPr="00A618BE" w:rsidRDefault="00714C25" w:rsidP="00D0581F">
            <w:pPr>
              <w:rPr>
                <w:b/>
                <w:sz w:val="44"/>
              </w:rPr>
            </w:pPr>
            <w:r w:rsidRPr="00A618BE">
              <w:t>Women’s Health Goulburn North East</w:t>
            </w:r>
          </w:p>
          <w:p w14:paraId="2EAEDD56" w14:textId="77777777" w:rsidR="00714C25" w:rsidRPr="00A618BE" w:rsidRDefault="00714C25" w:rsidP="00D0581F">
            <w:pPr>
              <w:rPr>
                <w:b/>
                <w:sz w:val="44"/>
              </w:rPr>
            </w:pPr>
            <w:r w:rsidRPr="00A618BE">
              <w:t>Women’s Health Grampians</w:t>
            </w:r>
          </w:p>
          <w:p w14:paraId="19DDB0A6" w14:textId="6DFEF8D6" w:rsidR="0060633B" w:rsidRPr="0060633B" w:rsidRDefault="00714C25" w:rsidP="00D0581F">
            <w:r w:rsidRPr="00A618BE">
              <w:t>Women’s Health in the North</w:t>
            </w:r>
          </w:p>
          <w:p w14:paraId="68622B82" w14:textId="77777777" w:rsidR="00714C25" w:rsidRPr="00A618BE" w:rsidRDefault="00714C25" w:rsidP="00D0581F">
            <w:pPr>
              <w:rPr>
                <w:b/>
                <w:sz w:val="44"/>
              </w:rPr>
            </w:pPr>
            <w:r w:rsidRPr="00A618BE">
              <w:t>Women’s Health in the South East</w:t>
            </w:r>
          </w:p>
          <w:p w14:paraId="4713B847" w14:textId="6B25951A" w:rsidR="00714C25" w:rsidRDefault="00714C25" w:rsidP="00D0581F">
            <w:r w:rsidRPr="00A618BE">
              <w:t>Women’s Health Loddon Mallee</w:t>
            </w:r>
          </w:p>
          <w:p w14:paraId="5A915721" w14:textId="6771F0DD" w:rsidR="00714C25" w:rsidRPr="00A618BE" w:rsidRDefault="00714C25" w:rsidP="00D0581F">
            <w:pPr>
              <w:rPr>
                <w:b/>
                <w:sz w:val="44"/>
              </w:rPr>
            </w:pPr>
            <w:r w:rsidRPr="00A618BE">
              <w:t>Women’s Health Victoria</w:t>
            </w:r>
          </w:p>
          <w:p w14:paraId="14C876F1" w14:textId="5388C6B4" w:rsidR="00714C25" w:rsidRPr="00A618BE" w:rsidRDefault="00714C25" w:rsidP="00D0581F">
            <w:pPr>
              <w:rPr>
                <w:b/>
                <w:sz w:val="44"/>
              </w:rPr>
            </w:pPr>
            <w:r w:rsidRPr="00A618BE">
              <w:t xml:space="preserve">Women with Disabilities Australia </w:t>
            </w:r>
            <w:r w:rsidR="0060633B">
              <w:t>(WWDA)</w:t>
            </w:r>
          </w:p>
          <w:p w14:paraId="6987A8E1" w14:textId="77777777" w:rsidR="00714C25" w:rsidRPr="00A618BE" w:rsidRDefault="00714C25" w:rsidP="00D0581F">
            <w:pPr>
              <w:rPr>
                <w:b/>
                <w:sz w:val="44"/>
              </w:rPr>
            </w:pPr>
            <w:r w:rsidRPr="00A618BE">
              <w:lastRenderedPageBreak/>
              <w:t xml:space="preserve">Women with Disabilities ACT </w:t>
            </w:r>
          </w:p>
          <w:p w14:paraId="44403956" w14:textId="4B3EB8BD" w:rsidR="00714C25" w:rsidRPr="00A618BE" w:rsidRDefault="00714C25" w:rsidP="00D0581F">
            <w:r w:rsidRPr="00A618BE">
              <w:t>Women with Disabilities Victoria</w:t>
            </w:r>
          </w:p>
        </w:tc>
      </w:tr>
    </w:tbl>
    <w:p w14:paraId="4C610828" w14:textId="40420254" w:rsidR="00581A5E" w:rsidRPr="00A618BE" w:rsidRDefault="00581A5E" w:rsidP="00D0581F">
      <w:r w:rsidRPr="00A618BE">
        <w:lastRenderedPageBreak/>
        <w:t xml:space="preserve">Marie Stopes Australia acknowledges and thanks the attendees of the initial roundtable on </w:t>
      </w:r>
      <w:r w:rsidR="00194CC8">
        <w:t>r</w:t>
      </w:r>
      <w:r w:rsidR="00194CC8" w:rsidRPr="00A618BE">
        <w:t xml:space="preserve">eproductive </w:t>
      </w:r>
      <w:r w:rsidR="00194CC8">
        <w:t>c</w:t>
      </w:r>
      <w:r w:rsidR="00194CC8" w:rsidRPr="00A618BE">
        <w:t>oercion</w:t>
      </w:r>
      <w:r w:rsidR="00194CC8">
        <w:t xml:space="preserve"> </w:t>
      </w:r>
      <w:r w:rsidRPr="00A618BE">
        <w:t xml:space="preserve">held in August 2017 and all those who anonymously shared their stories and experiences. </w:t>
      </w:r>
    </w:p>
    <w:p w14:paraId="4182B43B" w14:textId="56EDA711" w:rsidR="00581A5E" w:rsidRDefault="00581A5E" w:rsidP="00D0581F">
      <w:r w:rsidRPr="00A618BE">
        <w:t>Thank you to the editorial team of</w:t>
      </w:r>
      <w:r w:rsidR="00714C25">
        <w:t xml:space="preserve"> the first edition of </w:t>
      </w:r>
      <w:r w:rsidR="00714C25" w:rsidRPr="00EC4CC0">
        <w:rPr>
          <w:i/>
          <w:iCs/>
        </w:rPr>
        <w:t>Hidden Forces</w:t>
      </w:r>
      <w:r w:rsidR="00714C25">
        <w:t>, including</w:t>
      </w:r>
      <w:r w:rsidRPr="00A618BE">
        <w:t xml:space="preserve"> </w:t>
      </w:r>
      <w:r w:rsidR="00714C25">
        <w:t xml:space="preserve">Jacquie O’Brien, </w:t>
      </w:r>
      <w:r w:rsidRPr="00A618BE">
        <w:t xml:space="preserve">Janet Farrow </w:t>
      </w:r>
      <w:proofErr w:type="gramStart"/>
      <w:r w:rsidRPr="00A618BE">
        <w:t>OAM</w:t>
      </w:r>
      <w:proofErr w:type="gramEnd"/>
      <w:r w:rsidRPr="00A618BE">
        <w:t xml:space="preserve"> and Jessica Davis.</w:t>
      </w:r>
    </w:p>
    <w:p w14:paraId="762F1236" w14:textId="79D42363" w:rsidR="0060633B" w:rsidRDefault="0060633B" w:rsidP="00D0581F"/>
    <w:p w14:paraId="4DE08D20" w14:textId="2B927933" w:rsidR="00164776" w:rsidRPr="00BE4A29" w:rsidRDefault="0011341E" w:rsidP="00D0581F">
      <w:pPr>
        <w:rPr>
          <w:szCs w:val="24"/>
        </w:rPr>
      </w:pPr>
      <w:r>
        <w:rPr>
          <w:szCs w:val="24"/>
        </w:rPr>
        <w:t>Appreciation</w:t>
      </w:r>
      <w:r w:rsidR="0060633B" w:rsidRPr="00164776">
        <w:rPr>
          <w:szCs w:val="24"/>
        </w:rPr>
        <w:t xml:space="preserve"> to the </w:t>
      </w:r>
      <w:r w:rsidR="00164776" w:rsidRPr="00164776">
        <w:rPr>
          <w:szCs w:val="24"/>
        </w:rPr>
        <w:t>review</w:t>
      </w:r>
      <w:r w:rsidR="0060633B" w:rsidRPr="00164776">
        <w:rPr>
          <w:szCs w:val="24"/>
        </w:rPr>
        <w:t xml:space="preserve"> team of the second edition of </w:t>
      </w:r>
      <w:r w:rsidR="0060633B" w:rsidRPr="00EC4CC0">
        <w:rPr>
          <w:i/>
          <w:iCs/>
          <w:szCs w:val="24"/>
        </w:rPr>
        <w:t>Hidden Forces</w:t>
      </w:r>
      <w:r w:rsidR="0060633B" w:rsidRPr="00164776">
        <w:rPr>
          <w:szCs w:val="24"/>
        </w:rPr>
        <w:t>, including</w:t>
      </w:r>
      <w:r w:rsidR="00EA43F1">
        <w:rPr>
          <w:szCs w:val="24"/>
        </w:rPr>
        <w:t xml:space="preserve"> </w:t>
      </w:r>
      <w:r w:rsidR="00164776" w:rsidRPr="00BE4A29">
        <w:rPr>
          <w:rFonts w:cs="Arial"/>
          <w:szCs w:val="24"/>
        </w:rPr>
        <w:t xml:space="preserve">Dr Laura </w:t>
      </w:r>
      <w:proofErr w:type="spellStart"/>
      <w:r w:rsidR="00164776" w:rsidRPr="00BE4A29">
        <w:rPr>
          <w:rFonts w:cs="Arial"/>
          <w:szCs w:val="24"/>
        </w:rPr>
        <w:t>Tarzia</w:t>
      </w:r>
      <w:proofErr w:type="spellEnd"/>
      <w:r w:rsidR="00164776" w:rsidRPr="00BE4A29">
        <w:rPr>
          <w:rFonts w:cs="Arial"/>
          <w:szCs w:val="24"/>
        </w:rPr>
        <w:t xml:space="preserve">, </w:t>
      </w:r>
      <w:r w:rsidR="00164776" w:rsidRPr="00BE4A29">
        <w:rPr>
          <w:rFonts w:cs="Arial"/>
          <w:szCs w:val="24"/>
          <w:lang w:val="en-US"/>
        </w:rPr>
        <w:t xml:space="preserve">the Safer Families Centre for Research Excellence </w:t>
      </w:r>
      <w:r w:rsidR="00164776" w:rsidRPr="00BE4A29">
        <w:rPr>
          <w:rFonts w:cs="Arial"/>
          <w:szCs w:val="24"/>
        </w:rPr>
        <w:t>and University of Melbourn</w:t>
      </w:r>
      <w:r w:rsidR="00EA43F1" w:rsidRPr="00EA43F1">
        <w:rPr>
          <w:rFonts w:cs="Arial"/>
          <w:szCs w:val="24"/>
        </w:rPr>
        <w:t>e</w:t>
      </w:r>
      <w:r w:rsidR="00EA43F1">
        <w:rPr>
          <w:rFonts w:cs="Arial"/>
          <w:szCs w:val="24"/>
        </w:rPr>
        <w:t xml:space="preserve">; </w:t>
      </w:r>
      <w:r w:rsidR="00164776">
        <w:rPr>
          <w:rFonts w:cs="Arial"/>
          <w:szCs w:val="24"/>
        </w:rPr>
        <w:t>Professor Heather Douglas, School of Law, University of Queensland</w:t>
      </w:r>
      <w:r w:rsidR="00425FCB">
        <w:rPr>
          <w:rFonts w:cs="Arial"/>
          <w:szCs w:val="24"/>
        </w:rPr>
        <w:t>;</w:t>
      </w:r>
      <w:r w:rsidR="00D00668">
        <w:rPr>
          <w:rFonts w:cs="Arial"/>
          <w:szCs w:val="24"/>
        </w:rPr>
        <w:t xml:space="preserve"> </w:t>
      </w:r>
      <w:r w:rsidR="00FF1BCC">
        <w:rPr>
          <w:rFonts w:cs="Arial"/>
          <w:szCs w:val="24"/>
        </w:rPr>
        <w:t>Dr Amy Webster</w:t>
      </w:r>
      <w:r w:rsidR="00425FCB">
        <w:rPr>
          <w:rFonts w:cs="Arial"/>
          <w:szCs w:val="24"/>
        </w:rPr>
        <w:t>;</w:t>
      </w:r>
      <w:r w:rsidR="00BF6304">
        <w:rPr>
          <w:rFonts w:cs="Arial"/>
          <w:szCs w:val="24"/>
        </w:rPr>
        <w:t xml:space="preserve"> </w:t>
      </w:r>
      <w:r w:rsidR="005B2EE0">
        <w:rPr>
          <w:rFonts w:cs="Arial"/>
          <w:szCs w:val="24"/>
        </w:rPr>
        <w:t>Dr Regina Torres-</w:t>
      </w:r>
      <w:proofErr w:type="spellStart"/>
      <w:r w:rsidR="005B2EE0">
        <w:rPr>
          <w:rFonts w:cs="Arial"/>
          <w:szCs w:val="24"/>
        </w:rPr>
        <w:t>Quiazon</w:t>
      </w:r>
      <w:proofErr w:type="spellEnd"/>
      <w:r w:rsidR="00425FCB">
        <w:rPr>
          <w:rFonts w:cs="Arial"/>
          <w:szCs w:val="24"/>
        </w:rPr>
        <w:t>; Dr Nicola Sheeran;</w:t>
      </w:r>
      <w:r w:rsidR="005B2EE0">
        <w:rPr>
          <w:rFonts w:cs="Arial"/>
          <w:szCs w:val="24"/>
        </w:rPr>
        <w:t xml:space="preserve"> </w:t>
      </w:r>
      <w:r w:rsidR="00D00668">
        <w:rPr>
          <w:rFonts w:cs="Arial"/>
          <w:szCs w:val="24"/>
        </w:rPr>
        <w:t>Tina Dixson</w:t>
      </w:r>
      <w:r w:rsidR="00EA43F1">
        <w:rPr>
          <w:rFonts w:cs="Arial"/>
          <w:szCs w:val="24"/>
        </w:rPr>
        <w:t>;</w:t>
      </w:r>
      <w:r w:rsidR="00260CD7" w:rsidRPr="00260CD7">
        <w:rPr>
          <w:szCs w:val="24"/>
        </w:rPr>
        <w:t xml:space="preserve"> </w:t>
      </w:r>
      <w:r w:rsidR="00260CD7">
        <w:rPr>
          <w:szCs w:val="24"/>
        </w:rPr>
        <w:t xml:space="preserve">the </w:t>
      </w:r>
      <w:r w:rsidR="00260CD7">
        <w:rPr>
          <w:rFonts w:cs="Arial"/>
          <w:szCs w:val="24"/>
        </w:rPr>
        <w:t>Multicultural Centre for Women’s Health</w:t>
      </w:r>
      <w:r w:rsidR="00260CD7">
        <w:rPr>
          <w:szCs w:val="24"/>
        </w:rPr>
        <w:t>; Children by Choice; the</w:t>
      </w:r>
      <w:r w:rsidR="00EA43F1">
        <w:rPr>
          <w:rFonts w:cs="Arial"/>
          <w:szCs w:val="24"/>
        </w:rPr>
        <w:t xml:space="preserve"> </w:t>
      </w:r>
      <w:r w:rsidR="00260CD7">
        <w:rPr>
          <w:rFonts w:cs="Arial"/>
          <w:szCs w:val="24"/>
        </w:rPr>
        <w:t xml:space="preserve">Australian Women’s Health Network; </w:t>
      </w:r>
      <w:r w:rsidR="00D00668">
        <w:rPr>
          <w:rFonts w:cs="Arial"/>
          <w:szCs w:val="24"/>
        </w:rPr>
        <w:t>the Australian Women Against Violence Alliance</w:t>
      </w:r>
      <w:r w:rsidR="00425FCB">
        <w:rPr>
          <w:rFonts w:cs="Arial"/>
          <w:szCs w:val="24"/>
        </w:rPr>
        <w:t>;</w:t>
      </w:r>
      <w:r w:rsidR="00D00668">
        <w:rPr>
          <w:rFonts w:cs="Arial"/>
          <w:szCs w:val="24"/>
        </w:rPr>
        <w:t xml:space="preserve"> </w:t>
      </w:r>
      <w:r w:rsidR="00EA43F1">
        <w:rPr>
          <w:rFonts w:cs="Arial"/>
          <w:szCs w:val="24"/>
        </w:rPr>
        <w:t xml:space="preserve">and </w:t>
      </w:r>
      <w:r w:rsidR="00260CD7">
        <w:rPr>
          <w:rFonts w:cs="Arial"/>
          <w:szCs w:val="24"/>
        </w:rPr>
        <w:t xml:space="preserve">Marie Stopes Australia </w:t>
      </w:r>
      <w:r w:rsidR="00EA43F1">
        <w:rPr>
          <w:rFonts w:cs="Arial"/>
          <w:szCs w:val="24"/>
        </w:rPr>
        <w:t xml:space="preserve">health consumer advisors, </w:t>
      </w:r>
      <w:r w:rsidR="00260CD7">
        <w:rPr>
          <w:rFonts w:cs="Arial"/>
          <w:szCs w:val="24"/>
        </w:rPr>
        <w:t>counsellors, nurses and clinicians</w:t>
      </w:r>
      <w:r w:rsidR="00EA43F1">
        <w:rPr>
          <w:rFonts w:cs="Arial"/>
          <w:szCs w:val="24"/>
        </w:rPr>
        <w:t>.</w:t>
      </w:r>
    </w:p>
    <w:p w14:paraId="3571061E" w14:textId="5A538ADE" w:rsidR="00026A95" w:rsidRDefault="00026A95" w:rsidP="00D0581F"/>
    <w:p w14:paraId="3877CF5F" w14:textId="206CA2A6" w:rsidR="00D231C5" w:rsidRPr="00A62D14" w:rsidRDefault="00D231C5" w:rsidP="00E34A64">
      <w:pPr>
        <w:pStyle w:val="Heading1"/>
      </w:pPr>
      <w:r>
        <w:br w:type="page"/>
      </w:r>
      <w:bookmarkStart w:id="144" w:name="_Toc530573382"/>
      <w:bookmarkStart w:id="145" w:name="_Toc57368614"/>
      <w:r w:rsidR="008337A7" w:rsidRPr="00A62D14">
        <w:lastRenderedPageBreak/>
        <w:t>11</w:t>
      </w:r>
      <w:r w:rsidRPr="00A62D14">
        <w:t>. Support</w:t>
      </w:r>
      <w:bookmarkEnd w:id="145"/>
    </w:p>
    <w:p w14:paraId="675B4082" w14:textId="77777777" w:rsidR="00D231C5" w:rsidRPr="00E04697" w:rsidRDefault="00D231C5" w:rsidP="00D0581F">
      <w:r>
        <w:t xml:space="preserve">This report includes references to structural reproductive coercion. </w:t>
      </w:r>
      <w:r w:rsidRPr="00E04697">
        <w:rPr>
          <w:rFonts w:cs="Arial"/>
        </w:rPr>
        <w:t xml:space="preserve">If you need support, please </w:t>
      </w:r>
      <w:r>
        <w:rPr>
          <w:rFonts w:cs="Arial"/>
        </w:rPr>
        <w:t>speak to a supportive person in your networks or</w:t>
      </w:r>
      <w:r w:rsidRPr="00E04697">
        <w:rPr>
          <w:rFonts w:cs="Arial"/>
        </w:rPr>
        <w:t xml:space="preserve"> consider one of the following </w:t>
      </w:r>
      <w:r>
        <w:rPr>
          <w:rFonts w:cs="Arial"/>
        </w:rPr>
        <w:t xml:space="preserve">support </w:t>
      </w:r>
      <w:r w:rsidRPr="00E04697">
        <w:rPr>
          <w:rFonts w:cs="Arial"/>
        </w:rPr>
        <w:t>options:</w:t>
      </w:r>
    </w:p>
    <w:p w14:paraId="32C6A2A1" w14:textId="77777777" w:rsidR="00D231C5" w:rsidRDefault="00AC7E4D" w:rsidP="00D0581F">
      <w:pPr>
        <w:pStyle w:val="ListParagraph"/>
        <w:numPr>
          <w:ilvl w:val="0"/>
          <w:numId w:val="5"/>
        </w:numPr>
        <w:contextualSpacing w:val="0"/>
        <w:rPr>
          <w:rFonts w:cs="Arial"/>
        </w:rPr>
      </w:pPr>
      <w:hyperlink r:id="rId11" w:history="1">
        <w:r w:rsidR="00D231C5" w:rsidRPr="0084514B">
          <w:rPr>
            <w:rStyle w:val="Hyperlink"/>
            <w:rFonts w:cs="Arial"/>
          </w:rPr>
          <w:t>1800 Respect</w:t>
        </w:r>
      </w:hyperlink>
      <w:r w:rsidR="00D231C5">
        <w:rPr>
          <w:rFonts w:cs="Arial"/>
        </w:rPr>
        <w:t xml:space="preserve">, for professionals who work in areas of sexual, </w:t>
      </w:r>
      <w:proofErr w:type="gramStart"/>
      <w:r w:rsidR="00D231C5">
        <w:rPr>
          <w:rFonts w:cs="Arial"/>
        </w:rPr>
        <w:t>family</w:t>
      </w:r>
      <w:proofErr w:type="gramEnd"/>
      <w:r w:rsidR="00D231C5">
        <w:rPr>
          <w:rFonts w:cs="Arial"/>
        </w:rPr>
        <w:t xml:space="preserve"> or domestic violence and for survivors of violence: 1800 737 732.</w:t>
      </w:r>
    </w:p>
    <w:p w14:paraId="5445026E" w14:textId="7568DDD1"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12" w:tgtFrame="_blank" w:history="1">
        <w:r w:rsidR="00D231C5" w:rsidRPr="00E04697">
          <w:rPr>
            <w:rStyle w:val="Hyperlink"/>
            <w:rFonts w:ascii="Arial" w:hAnsi="Arial" w:cs="Arial"/>
            <w:bCs/>
          </w:rPr>
          <w:t>beyondblue</w:t>
        </w:r>
      </w:hyperlink>
      <w:r w:rsidR="00D231C5" w:rsidRPr="00E04697">
        <w:rPr>
          <w:rFonts w:ascii="Arial" w:hAnsi="Arial" w:cs="Arial"/>
        </w:rPr>
        <w:t xml:space="preserve"> aims to increase awareness of depression and anxiety and </w:t>
      </w:r>
      <w:r w:rsidR="00D231C5">
        <w:rPr>
          <w:rFonts w:ascii="Arial" w:hAnsi="Arial" w:cs="Arial"/>
        </w:rPr>
        <w:t xml:space="preserve">to </w:t>
      </w:r>
      <w:r w:rsidR="00D231C5" w:rsidRPr="00E04697">
        <w:rPr>
          <w:rFonts w:ascii="Arial" w:hAnsi="Arial" w:cs="Arial"/>
        </w:rPr>
        <w:t>reduce stigma. Call 1300 22 4636.</w:t>
      </w:r>
    </w:p>
    <w:p w14:paraId="767B21A1" w14:textId="3BF6BAEB"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13" w:tgtFrame="_blank" w:history="1">
        <w:r w:rsidR="00D231C5" w:rsidRPr="00E04697">
          <w:rPr>
            <w:rStyle w:val="Hyperlink"/>
            <w:rFonts w:ascii="Arial" w:hAnsi="Arial" w:cs="Arial"/>
            <w:bCs/>
          </w:rPr>
          <w:t>Blue Knot Foundation Helpline</w:t>
        </w:r>
      </w:hyperlink>
      <w:r w:rsidR="00D231C5" w:rsidRPr="00E04697">
        <w:rPr>
          <w:rFonts w:ascii="Arial" w:hAnsi="Arial" w:cs="Arial"/>
        </w:rPr>
        <w:t xml:space="preserve"> (formerly ASCA Professional Support Line) provides help, information, support or referral for adult survivors of childhood trauma and abuse, their partners, family and friends, health professionals and anyone in the workplace working with people who have experienced childhood trauma and abuse. Call 1300 657 380.</w:t>
      </w:r>
    </w:p>
    <w:p w14:paraId="6CC61E5D" w14:textId="7F96FE45"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14" w:tgtFrame="_blank" w:history="1">
        <w:r w:rsidR="00D231C5" w:rsidRPr="00E04697">
          <w:rPr>
            <w:rStyle w:val="Hyperlink"/>
            <w:rFonts w:ascii="Arial" w:hAnsi="Arial" w:cs="Arial"/>
            <w:bCs/>
          </w:rPr>
          <w:t>Butterfly Foundation's National Helpline</w:t>
        </w:r>
      </w:hyperlink>
      <w:r w:rsidR="00D231C5">
        <w:rPr>
          <w:rFonts w:ascii="Arial" w:hAnsi="Arial" w:cs="Arial"/>
        </w:rPr>
        <w:t xml:space="preserve"> </w:t>
      </w:r>
      <w:r w:rsidR="00D231C5" w:rsidRPr="00E04697">
        <w:rPr>
          <w:rFonts w:ascii="Arial" w:hAnsi="Arial" w:cs="Arial"/>
        </w:rPr>
        <w:t>provid</w:t>
      </w:r>
      <w:r w:rsidR="00D231C5">
        <w:rPr>
          <w:rFonts w:ascii="Arial" w:hAnsi="Arial" w:cs="Arial"/>
        </w:rPr>
        <w:t xml:space="preserve">es information, </w:t>
      </w:r>
      <w:proofErr w:type="gramStart"/>
      <w:r w:rsidR="00D231C5">
        <w:rPr>
          <w:rFonts w:ascii="Arial" w:hAnsi="Arial" w:cs="Arial"/>
        </w:rPr>
        <w:t>counselling</w:t>
      </w:r>
      <w:proofErr w:type="gramEnd"/>
      <w:r w:rsidR="00D231C5">
        <w:rPr>
          <w:rFonts w:ascii="Arial" w:hAnsi="Arial" w:cs="Arial"/>
        </w:rPr>
        <w:t xml:space="preserve"> and </w:t>
      </w:r>
      <w:r w:rsidR="00D231C5" w:rsidRPr="00E04697">
        <w:rPr>
          <w:rFonts w:ascii="Arial" w:hAnsi="Arial" w:cs="Arial"/>
        </w:rPr>
        <w:t xml:space="preserve">referral for people with </w:t>
      </w:r>
      <w:r w:rsidR="00D231C5">
        <w:rPr>
          <w:rFonts w:ascii="Arial" w:hAnsi="Arial" w:cs="Arial"/>
        </w:rPr>
        <w:t>disordered eating and related issues</w:t>
      </w:r>
      <w:r w:rsidR="00D231C5" w:rsidRPr="00E04697">
        <w:rPr>
          <w:rFonts w:ascii="Arial" w:hAnsi="Arial" w:cs="Arial"/>
        </w:rPr>
        <w:t>. Call 1800 33 4673.</w:t>
      </w:r>
    </w:p>
    <w:p w14:paraId="0787BFD0" w14:textId="77777777"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15" w:tgtFrame="_blank" w:history="1">
        <w:r w:rsidR="00D231C5" w:rsidRPr="00E04697">
          <w:rPr>
            <w:rStyle w:val="Hyperlink"/>
            <w:rFonts w:ascii="Arial" w:hAnsi="Arial" w:cs="Arial"/>
            <w:bCs/>
          </w:rPr>
          <w:t>Lifeline</w:t>
        </w:r>
      </w:hyperlink>
      <w:r w:rsidR="00D231C5" w:rsidRPr="00E04697">
        <w:rPr>
          <w:rFonts w:ascii="Arial" w:hAnsi="Arial" w:cs="Arial"/>
        </w:rPr>
        <w:t xml:space="preserve"> provides 24-hour crisis counsel</w:t>
      </w:r>
      <w:r w:rsidR="00D231C5">
        <w:rPr>
          <w:rFonts w:ascii="Arial" w:hAnsi="Arial" w:cs="Arial"/>
        </w:rPr>
        <w:t>l</w:t>
      </w:r>
      <w:r w:rsidR="00D231C5" w:rsidRPr="00E04697">
        <w:rPr>
          <w:rFonts w:ascii="Arial" w:hAnsi="Arial" w:cs="Arial"/>
        </w:rPr>
        <w:t>ing, support groups and suicide prevention services. Call 13 11 14.</w:t>
      </w:r>
    </w:p>
    <w:p w14:paraId="7DD642EF" w14:textId="4AEC1C04"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16" w:tgtFrame="_blank" w:history="1">
        <w:proofErr w:type="spellStart"/>
        <w:r w:rsidR="00D231C5" w:rsidRPr="00E04697">
          <w:rPr>
            <w:rStyle w:val="Hyperlink"/>
            <w:rFonts w:ascii="Arial" w:hAnsi="Arial" w:cs="Arial"/>
            <w:bCs/>
          </w:rPr>
          <w:t>MensLine</w:t>
        </w:r>
        <w:proofErr w:type="spellEnd"/>
        <w:r w:rsidR="00D231C5" w:rsidRPr="00E04697">
          <w:rPr>
            <w:rStyle w:val="Hyperlink"/>
            <w:rFonts w:ascii="Arial" w:hAnsi="Arial" w:cs="Arial"/>
            <w:bCs/>
          </w:rPr>
          <w:t xml:space="preserve"> Australia</w:t>
        </w:r>
      </w:hyperlink>
      <w:r w:rsidR="00D231C5" w:rsidRPr="00E04697">
        <w:rPr>
          <w:rFonts w:ascii="Arial" w:hAnsi="Arial" w:cs="Arial"/>
        </w:rPr>
        <w:t xml:space="preserve"> is a professional telephone and online support and information service for men. Call 1300 78 99 78.</w:t>
      </w:r>
    </w:p>
    <w:p w14:paraId="1FD2C9C1" w14:textId="4170D099"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17" w:tgtFrame="_blank" w:history="1">
        <w:proofErr w:type="spellStart"/>
        <w:r w:rsidR="00D231C5" w:rsidRPr="00E04697">
          <w:rPr>
            <w:rStyle w:val="Hyperlink"/>
            <w:rFonts w:ascii="Arial" w:hAnsi="Arial" w:cs="Arial"/>
            <w:bCs/>
          </w:rPr>
          <w:t>MindSpot</w:t>
        </w:r>
        <w:proofErr w:type="spellEnd"/>
      </w:hyperlink>
      <w:r w:rsidR="00D231C5" w:rsidRPr="00E04697">
        <w:rPr>
          <w:rFonts w:ascii="Arial" w:hAnsi="Arial" w:cs="Arial"/>
        </w:rPr>
        <w:t xml:space="preserve"> is a free telephone and online service for people with stress, worry, anxiety, low </w:t>
      </w:r>
      <w:proofErr w:type="gramStart"/>
      <w:r w:rsidR="00D231C5" w:rsidRPr="00E04697">
        <w:rPr>
          <w:rFonts w:ascii="Arial" w:hAnsi="Arial" w:cs="Arial"/>
        </w:rPr>
        <w:t>mood</w:t>
      </w:r>
      <w:proofErr w:type="gramEnd"/>
      <w:r w:rsidR="00D231C5" w:rsidRPr="00E04697">
        <w:rPr>
          <w:rFonts w:ascii="Arial" w:hAnsi="Arial" w:cs="Arial"/>
        </w:rPr>
        <w:t xml:space="preserve"> or depression. It provides online assessment and treatment for anxiety and</w:t>
      </w:r>
      <w:r w:rsidR="00D231C5">
        <w:rPr>
          <w:rFonts w:ascii="Arial" w:hAnsi="Arial" w:cs="Arial"/>
        </w:rPr>
        <w:t xml:space="preserve"> depression. Call 1800 61 44 34.</w:t>
      </w:r>
    </w:p>
    <w:p w14:paraId="7492BF8F" w14:textId="113E2BAE"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18" w:tgtFrame="_blank" w:history="1">
        <w:proofErr w:type="spellStart"/>
        <w:r w:rsidR="00D231C5" w:rsidRPr="00E04697">
          <w:rPr>
            <w:rStyle w:val="Hyperlink"/>
            <w:rFonts w:ascii="Arial" w:hAnsi="Arial" w:cs="Arial"/>
            <w:bCs/>
          </w:rPr>
          <w:t>QLife</w:t>
        </w:r>
        <w:proofErr w:type="spellEnd"/>
      </w:hyperlink>
      <w:r w:rsidR="00D231C5" w:rsidRPr="00E04697">
        <w:rPr>
          <w:rFonts w:ascii="Arial" w:hAnsi="Arial" w:cs="Arial"/>
        </w:rPr>
        <w:t xml:space="preserve"> provides nationwide telephone and web-based services to support </w:t>
      </w:r>
      <w:r w:rsidR="00D231C5">
        <w:rPr>
          <w:rFonts w:ascii="Arial" w:hAnsi="Arial" w:cs="Arial"/>
        </w:rPr>
        <w:t xml:space="preserve">LGBTI people </w:t>
      </w:r>
      <w:r w:rsidR="00D231C5" w:rsidRPr="00E04697">
        <w:rPr>
          <w:rFonts w:ascii="Arial" w:hAnsi="Arial" w:cs="Arial"/>
        </w:rPr>
        <w:t>of all ages. Call 1800 184 527.</w:t>
      </w:r>
    </w:p>
    <w:p w14:paraId="3CCBD7F8" w14:textId="6AAE7D02"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19" w:tgtFrame="_blank" w:history="1">
        <w:r w:rsidR="00D231C5" w:rsidRPr="00E04697">
          <w:rPr>
            <w:rStyle w:val="Hyperlink"/>
            <w:rFonts w:ascii="Arial" w:hAnsi="Arial" w:cs="Arial"/>
            <w:bCs/>
          </w:rPr>
          <w:t>PANDA</w:t>
        </w:r>
      </w:hyperlink>
      <w:r w:rsidR="00D231C5" w:rsidRPr="00E04697">
        <w:rPr>
          <w:rFonts w:ascii="Arial" w:hAnsi="Arial" w:cs="Arial"/>
        </w:rPr>
        <w:t xml:space="preserve"> (Perinatal Anxiety &amp; Depression Australia) provides a national telephone information, counselling and referral service staffed by trained volunteers, professional </w:t>
      </w:r>
      <w:proofErr w:type="gramStart"/>
      <w:r w:rsidR="00D231C5" w:rsidRPr="00E04697">
        <w:rPr>
          <w:rFonts w:ascii="Arial" w:hAnsi="Arial" w:cs="Arial"/>
        </w:rPr>
        <w:t>counsellors</w:t>
      </w:r>
      <w:proofErr w:type="gramEnd"/>
      <w:r w:rsidR="00D231C5" w:rsidRPr="00E04697">
        <w:rPr>
          <w:rFonts w:ascii="Arial" w:hAnsi="Arial" w:cs="Arial"/>
        </w:rPr>
        <w:t xml:space="preserve"> and supervising staff. Many helpline counsellors have had their own experience of perinatal depression</w:t>
      </w:r>
      <w:r w:rsidR="00D231C5">
        <w:rPr>
          <w:rFonts w:ascii="Arial" w:hAnsi="Arial" w:cs="Arial"/>
        </w:rPr>
        <w:t xml:space="preserve"> or anxiety. Call 1300 726 306.</w:t>
      </w:r>
    </w:p>
    <w:p w14:paraId="73292B38" w14:textId="4B723763" w:rsidR="00D231C5" w:rsidRPr="00E04697" w:rsidRDefault="00AC7E4D" w:rsidP="00D0581F">
      <w:pPr>
        <w:pStyle w:val="NormalWeb"/>
        <w:numPr>
          <w:ilvl w:val="0"/>
          <w:numId w:val="5"/>
        </w:numPr>
        <w:spacing w:before="0" w:beforeAutospacing="0" w:after="120" w:afterAutospacing="0" w:line="276" w:lineRule="auto"/>
        <w:rPr>
          <w:rFonts w:ascii="Arial" w:hAnsi="Arial" w:cs="Arial"/>
        </w:rPr>
      </w:pPr>
      <w:hyperlink r:id="rId20" w:tgtFrame="_blank" w:history="1">
        <w:r w:rsidR="00D231C5" w:rsidRPr="00E04697">
          <w:rPr>
            <w:rStyle w:val="Hyperlink"/>
            <w:rFonts w:ascii="Arial" w:hAnsi="Arial" w:cs="Arial"/>
            <w:bCs/>
          </w:rPr>
          <w:t>SANE Australia</w:t>
        </w:r>
      </w:hyperlink>
      <w:r w:rsidR="00D231C5" w:rsidRPr="00E04697">
        <w:rPr>
          <w:rFonts w:ascii="Arial" w:hAnsi="Arial" w:cs="Arial"/>
        </w:rPr>
        <w:t xml:space="preserve"> provides support, </w:t>
      </w:r>
      <w:proofErr w:type="gramStart"/>
      <w:r w:rsidR="00D231C5" w:rsidRPr="00E04697">
        <w:rPr>
          <w:rFonts w:ascii="Arial" w:hAnsi="Arial" w:cs="Arial"/>
        </w:rPr>
        <w:t>training</w:t>
      </w:r>
      <w:proofErr w:type="gramEnd"/>
      <w:r w:rsidR="00D231C5" w:rsidRPr="00E04697">
        <w:rPr>
          <w:rFonts w:ascii="Arial" w:hAnsi="Arial" w:cs="Arial"/>
        </w:rPr>
        <w:t xml:space="preserve"> and education </w:t>
      </w:r>
      <w:r w:rsidR="00D231C5">
        <w:rPr>
          <w:rFonts w:ascii="Arial" w:hAnsi="Arial" w:cs="Arial"/>
        </w:rPr>
        <w:t>to enable mental health and wellbeing</w:t>
      </w:r>
      <w:r w:rsidR="00D231C5" w:rsidRPr="00E04697">
        <w:rPr>
          <w:rFonts w:ascii="Arial" w:hAnsi="Arial" w:cs="Arial"/>
        </w:rPr>
        <w:t>. Call 1800 18 7263</w:t>
      </w:r>
      <w:r w:rsidR="00D231C5">
        <w:rPr>
          <w:rFonts w:ascii="Arial" w:hAnsi="Arial" w:cs="Arial"/>
        </w:rPr>
        <w:t>.</w:t>
      </w:r>
    </w:p>
    <w:p w14:paraId="16563E07" w14:textId="7DE7AB0A" w:rsidR="00A62D14" w:rsidRDefault="00D231C5" w:rsidP="00D0581F">
      <w:pPr>
        <w:pStyle w:val="ListParagraph"/>
        <w:numPr>
          <w:ilvl w:val="0"/>
          <w:numId w:val="5"/>
        </w:numPr>
        <w:spacing w:before="120" w:after="0"/>
        <w:contextualSpacing w:val="0"/>
        <w:rPr>
          <w:rFonts w:cs="Arial"/>
          <w:color w:val="000000" w:themeColor="text1"/>
        </w:rPr>
      </w:pPr>
      <w:r w:rsidRPr="00E04697">
        <w:rPr>
          <w:rFonts w:cs="Arial"/>
          <w:color w:val="000000" w:themeColor="text1"/>
        </w:rPr>
        <w:t>Your General Practiti</w:t>
      </w:r>
      <w:r w:rsidR="00C52A90">
        <w:rPr>
          <w:rFonts w:cs="Arial"/>
          <w:color w:val="000000" w:themeColor="text1"/>
        </w:rPr>
        <w:t>oner</w:t>
      </w:r>
      <w:r w:rsidR="00BF6304">
        <w:rPr>
          <w:rFonts w:cs="Arial"/>
          <w:color w:val="000000" w:themeColor="text1"/>
        </w:rPr>
        <w:t>.</w:t>
      </w:r>
    </w:p>
    <w:p w14:paraId="7C1B4D67" w14:textId="3010226A" w:rsidR="00A62D14" w:rsidRDefault="00A62D14" w:rsidP="00D0581F">
      <w:pPr>
        <w:spacing w:after="160"/>
        <w:rPr>
          <w:rFonts w:cs="Arial"/>
          <w:color w:val="000000" w:themeColor="text1"/>
        </w:rPr>
      </w:pPr>
    </w:p>
    <w:p w14:paraId="3E7569AB" w14:textId="77777777" w:rsidR="00A62D14" w:rsidRPr="0053228A" w:rsidRDefault="00A62D14" w:rsidP="00D0581F">
      <w:pPr>
        <w:pStyle w:val="ListParagraph"/>
        <w:spacing w:before="120" w:after="0"/>
        <w:contextualSpacing w:val="0"/>
        <w:rPr>
          <w:rFonts w:cs="Arial"/>
        </w:rPr>
      </w:pPr>
    </w:p>
    <w:p w14:paraId="3FBEBF0E" w14:textId="3FAF4159" w:rsidR="00A62D14" w:rsidRPr="00066B95" w:rsidRDefault="00A62D14" w:rsidP="00D0581F">
      <w:pPr>
        <w:pStyle w:val="Heading1"/>
        <w:spacing w:line="276" w:lineRule="auto"/>
      </w:pPr>
      <w:bookmarkStart w:id="146" w:name="_Toc57368615"/>
      <w:r w:rsidRPr="00DD62D2">
        <w:lastRenderedPageBreak/>
        <w:t>A</w:t>
      </w:r>
      <w:r>
        <w:t>nnex</w:t>
      </w:r>
      <w:r w:rsidRPr="00DD62D2">
        <w:t xml:space="preserve"> 1. </w:t>
      </w:r>
      <w:r>
        <w:t>Reproductive coercion</w:t>
      </w:r>
      <w:r w:rsidRPr="00DD62D2">
        <w:t xml:space="preserve">, IPV, FV, SV </w:t>
      </w:r>
      <w:r>
        <w:t xml:space="preserve">resources for Australian healthcare </w:t>
      </w:r>
      <w:r w:rsidRPr="00066B95">
        <w:t>practitioners</w:t>
      </w:r>
      <w:bookmarkEnd w:id="146"/>
      <w:r w:rsidRPr="00066B95">
        <w:t xml:space="preserve"> </w:t>
      </w:r>
    </w:p>
    <w:tbl>
      <w:tblPr>
        <w:tblStyle w:val="TableMSA"/>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019"/>
        <w:gridCol w:w="1809"/>
        <w:gridCol w:w="1275"/>
        <w:gridCol w:w="1243"/>
        <w:gridCol w:w="2443"/>
      </w:tblGrid>
      <w:tr w:rsidR="00A62D14" w:rsidRPr="00E95D15" w14:paraId="4F07E6C4" w14:textId="77777777" w:rsidTr="00FF73E8">
        <w:trPr>
          <w:cnfStyle w:val="100000000000" w:firstRow="1" w:lastRow="0" w:firstColumn="0" w:lastColumn="0" w:oddVBand="0" w:evenVBand="0" w:oddHBand="0" w:evenHBand="0" w:firstRowFirstColumn="0" w:firstRowLastColumn="0" w:lastRowFirstColumn="0" w:lastRowLastColumn="0"/>
          <w:trHeight w:val="357"/>
        </w:trPr>
        <w:tc>
          <w:tcPr>
            <w:tcW w:w="1985" w:type="dxa"/>
          </w:tcPr>
          <w:p w14:paraId="13B44B70" w14:textId="4AEBF619" w:rsidR="00A62D14" w:rsidRPr="00FF73E8" w:rsidRDefault="00A62D14" w:rsidP="00D0581F">
            <w:pPr>
              <w:rPr>
                <w:b/>
                <w:color w:val="auto"/>
                <w:sz w:val="18"/>
                <w:szCs w:val="18"/>
              </w:rPr>
            </w:pPr>
            <w:r w:rsidRPr="00FF73E8">
              <w:rPr>
                <w:b/>
                <w:color w:val="auto"/>
                <w:sz w:val="18"/>
                <w:szCs w:val="18"/>
              </w:rPr>
              <w:t xml:space="preserve">Tool / </w:t>
            </w:r>
            <w:r w:rsidR="00FF73E8">
              <w:rPr>
                <w:b/>
                <w:color w:val="auto"/>
                <w:sz w:val="18"/>
                <w:szCs w:val="18"/>
              </w:rPr>
              <w:t>p</w:t>
            </w:r>
            <w:r w:rsidRPr="00FF73E8">
              <w:rPr>
                <w:b/>
                <w:color w:val="auto"/>
                <w:sz w:val="18"/>
                <w:szCs w:val="18"/>
              </w:rPr>
              <w:t>rogram</w:t>
            </w:r>
          </w:p>
        </w:tc>
        <w:tc>
          <w:tcPr>
            <w:tcW w:w="2019" w:type="dxa"/>
          </w:tcPr>
          <w:p w14:paraId="06BEC8E1" w14:textId="77777777" w:rsidR="00A62D14" w:rsidRPr="00FF73E8" w:rsidRDefault="00A62D14" w:rsidP="00D0581F">
            <w:pPr>
              <w:rPr>
                <w:b/>
                <w:color w:val="auto"/>
                <w:sz w:val="18"/>
                <w:szCs w:val="18"/>
              </w:rPr>
            </w:pPr>
            <w:r w:rsidRPr="00FF73E8">
              <w:rPr>
                <w:b/>
                <w:color w:val="auto"/>
                <w:sz w:val="18"/>
                <w:szCs w:val="18"/>
              </w:rPr>
              <w:t xml:space="preserve">Details </w:t>
            </w:r>
          </w:p>
        </w:tc>
        <w:tc>
          <w:tcPr>
            <w:tcW w:w="1809" w:type="dxa"/>
          </w:tcPr>
          <w:p w14:paraId="602D1443" w14:textId="77777777" w:rsidR="00A62D14" w:rsidRPr="00FF73E8" w:rsidRDefault="00A62D14" w:rsidP="00D0581F">
            <w:pPr>
              <w:rPr>
                <w:b/>
                <w:color w:val="auto"/>
                <w:sz w:val="18"/>
                <w:szCs w:val="18"/>
              </w:rPr>
            </w:pPr>
            <w:r w:rsidRPr="00FF73E8">
              <w:rPr>
                <w:b/>
                <w:color w:val="auto"/>
                <w:sz w:val="18"/>
                <w:szCs w:val="18"/>
              </w:rPr>
              <w:t>Purpose</w:t>
            </w:r>
          </w:p>
        </w:tc>
        <w:tc>
          <w:tcPr>
            <w:tcW w:w="1275" w:type="dxa"/>
          </w:tcPr>
          <w:p w14:paraId="3C6F34D8" w14:textId="416ADA0F" w:rsidR="00A62D14" w:rsidRPr="00FF73E8" w:rsidRDefault="00C06C17" w:rsidP="00D0581F">
            <w:pPr>
              <w:rPr>
                <w:b/>
                <w:color w:val="auto"/>
                <w:sz w:val="18"/>
                <w:szCs w:val="18"/>
              </w:rPr>
            </w:pPr>
            <w:r w:rsidRPr="00FF73E8">
              <w:rPr>
                <w:b/>
                <w:color w:val="auto"/>
                <w:sz w:val="18"/>
                <w:szCs w:val="18"/>
              </w:rPr>
              <w:t>Direct r</w:t>
            </w:r>
            <w:r w:rsidR="00A62D14" w:rsidRPr="00FF73E8">
              <w:rPr>
                <w:b/>
                <w:color w:val="auto"/>
                <w:sz w:val="18"/>
                <w:szCs w:val="18"/>
              </w:rPr>
              <w:t>eference to RC</w:t>
            </w:r>
          </w:p>
        </w:tc>
        <w:tc>
          <w:tcPr>
            <w:tcW w:w="1243" w:type="dxa"/>
          </w:tcPr>
          <w:p w14:paraId="114B0888" w14:textId="3B3C4C6A" w:rsidR="00A62D14" w:rsidRPr="00FF73E8" w:rsidRDefault="00A62D14" w:rsidP="00D0581F">
            <w:pPr>
              <w:rPr>
                <w:b/>
                <w:color w:val="auto"/>
                <w:sz w:val="18"/>
                <w:szCs w:val="18"/>
              </w:rPr>
            </w:pPr>
            <w:r w:rsidRPr="00FF73E8">
              <w:rPr>
                <w:b/>
                <w:color w:val="auto"/>
                <w:sz w:val="18"/>
                <w:szCs w:val="18"/>
              </w:rPr>
              <w:t xml:space="preserve">Jurisdiction </w:t>
            </w:r>
          </w:p>
        </w:tc>
        <w:tc>
          <w:tcPr>
            <w:tcW w:w="2443" w:type="dxa"/>
          </w:tcPr>
          <w:p w14:paraId="0692F684" w14:textId="77777777" w:rsidR="00A62D14" w:rsidRPr="00FF73E8" w:rsidRDefault="00A62D14" w:rsidP="00D0581F">
            <w:pPr>
              <w:rPr>
                <w:b/>
                <w:color w:val="auto"/>
                <w:sz w:val="18"/>
                <w:szCs w:val="18"/>
              </w:rPr>
            </w:pPr>
            <w:r w:rsidRPr="00FF73E8">
              <w:rPr>
                <w:b/>
                <w:color w:val="auto"/>
                <w:sz w:val="18"/>
                <w:szCs w:val="18"/>
              </w:rPr>
              <w:t>Link</w:t>
            </w:r>
          </w:p>
        </w:tc>
      </w:tr>
      <w:tr w:rsidR="00A62D14" w:rsidRPr="00E95D15" w14:paraId="4E35091C" w14:textId="77777777" w:rsidTr="00FF73E8">
        <w:trPr>
          <w:trHeight w:val="1084"/>
        </w:trPr>
        <w:tc>
          <w:tcPr>
            <w:tcW w:w="1985" w:type="dxa"/>
          </w:tcPr>
          <w:p w14:paraId="7D2CCB9C" w14:textId="77777777" w:rsidR="00A62D14" w:rsidRPr="00E95D15" w:rsidRDefault="00A62D14" w:rsidP="00D0581F">
            <w:pPr>
              <w:rPr>
                <w:sz w:val="18"/>
                <w:szCs w:val="18"/>
              </w:rPr>
            </w:pPr>
            <w:r w:rsidRPr="00E95D15">
              <w:rPr>
                <w:sz w:val="18"/>
                <w:szCs w:val="18"/>
              </w:rPr>
              <w:t xml:space="preserve">Screening to Safety </w:t>
            </w:r>
          </w:p>
        </w:tc>
        <w:tc>
          <w:tcPr>
            <w:tcW w:w="2019" w:type="dxa"/>
          </w:tcPr>
          <w:p w14:paraId="3A8C1AC8" w14:textId="77777777" w:rsidR="00A62D14" w:rsidRPr="00E95D15" w:rsidRDefault="00A62D14" w:rsidP="00D0581F">
            <w:pPr>
              <w:rPr>
                <w:sz w:val="18"/>
                <w:szCs w:val="18"/>
              </w:rPr>
            </w:pPr>
            <w:r w:rsidRPr="00E95D15">
              <w:rPr>
                <w:sz w:val="18"/>
                <w:szCs w:val="18"/>
              </w:rPr>
              <w:t xml:space="preserve">Developed by Children </w:t>
            </w:r>
            <w:proofErr w:type="gramStart"/>
            <w:r w:rsidRPr="00E95D15">
              <w:rPr>
                <w:sz w:val="18"/>
                <w:szCs w:val="18"/>
              </w:rPr>
              <w:t>By</w:t>
            </w:r>
            <w:proofErr w:type="gramEnd"/>
            <w:r w:rsidRPr="00E95D15">
              <w:rPr>
                <w:sz w:val="18"/>
                <w:szCs w:val="18"/>
              </w:rPr>
              <w:t xml:space="preserve"> Choice for Abortion care providers</w:t>
            </w:r>
          </w:p>
        </w:tc>
        <w:tc>
          <w:tcPr>
            <w:tcW w:w="1809" w:type="dxa"/>
          </w:tcPr>
          <w:p w14:paraId="2BEC2EEB" w14:textId="77777777" w:rsidR="00A62D14" w:rsidRPr="00E95D15" w:rsidRDefault="00A62D14" w:rsidP="00D0581F">
            <w:pPr>
              <w:rPr>
                <w:sz w:val="18"/>
                <w:szCs w:val="18"/>
              </w:rPr>
            </w:pPr>
            <w:r w:rsidRPr="00E95D15">
              <w:rPr>
                <w:sz w:val="18"/>
                <w:szCs w:val="18"/>
              </w:rPr>
              <w:t>Screening, clinic staff education and support materials</w:t>
            </w:r>
          </w:p>
        </w:tc>
        <w:tc>
          <w:tcPr>
            <w:tcW w:w="1275" w:type="dxa"/>
          </w:tcPr>
          <w:p w14:paraId="1ED0B30F" w14:textId="77777777" w:rsidR="00A62D14" w:rsidRPr="00E95D15" w:rsidRDefault="00A62D14" w:rsidP="00D0581F">
            <w:pPr>
              <w:rPr>
                <w:sz w:val="18"/>
                <w:szCs w:val="18"/>
              </w:rPr>
            </w:pPr>
            <w:r w:rsidRPr="00E95D15">
              <w:rPr>
                <w:sz w:val="18"/>
                <w:szCs w:val="18"/>
              </w:rPr>
              <w:t>Yes, provides materials for contraceptive counselling.</w:t>
            </w:r>
          </w:p>
        </w:tc>
        <w:tc>
          <w:tcPr>
            <w:tcW w:w="1243" w:type="dxa"/>
          </w:tcPr>
          <w:p w14:paraId="4771F714" w14:textId="77777777" w:rsidR="00A62D14" w:rsidRPr="00E95D15" w:rsidRDefault="00A62D14" w:rsidP="00D0581F">
            <w:pPr>
              <w:rPr>
                <w:sz w:val="18"/>
                <w:szCs w:val="18"/>
              </w:rPr>
            </w:pPr>
            <w:r w:rsidRPr="00E95D15">
              <w:rPr>
                <w:sz w:val="18"/>
                <w:szCs w:val="18"/>
              </w:rPr>
              <w:t>QLD</w:t>
            </w:r>
          </w:p>
        </w:tc>
        <w:tc>
          <w:tcPr>
            <w:tcW w:w="2443" w:type="dxa"/>
          </w:tcPr>
          <w:p w14:paraId="7A208FAE" w14:textId="77777777" w:rsidR="00A62D14" w:rsidRPr="00E95D15" w:rsidRDefault="00AC7E4D" w:rsidP="00D0581F">
            <w:pPr>
              <w:rPr>
                <w:color w:val="00B0F0"/>
                <w:sz w:val="18"/>
                <w:szCs w:val="18"/>
              </w:rPr>
            </w:pPr>
            <w:hyperlink r:id="rId21" w:history="1">
              <w:r w:rsidR="00A62D14" w:rsidRPr="00E95D15">
                <w:rPr>
                  <w:rStyle w:val="Hyperlink"/>
                  <w:color w:val="00B0F0"/>
                  <w:sz w:val="18"/>
                  <w:szCs w:val="18"/>
                </w:rPr>
                <w:t>https://www.childrenbychoice.org.au/forprofessionals/recognisingviolenceandcoercion/screening-to-safety</w:t>
              </w:r>
            </w:hyperlink>
          </w:p>
        </w:tc>
      </w:tr>
      <w:tr w:rsidR="00A62D14" w:rsidRPr="00E95D15" w14:paraId="598D7B7C" w14:textId="77777777" w:rsidTr="00FF73E8">
        <w:trPr>
          <w:trHeight w:val="1084"/>
        </w:trPr>
        <w:tc>
          <w:tcPr>
            <w:tcW w:w="1985" w:type="dxa"/>
          </w:tcPr>
          <w:p w14:paraId="63AB5D99" w14:textId="77777777" w:rsidR="00A62D14" w:rsidRPr="00E95D15" w:rsidRDefault="00A62D14" w:rsidP="00D0581F">
            <w:pPr>
              <w:rPr>
                <w:sz w:val="18"/>
                <w:szCs w:val="18"/>
              </w:rPr>
            </w:pPr>
            <w:r w:rsidRPr="00E95D15">
              <w:rPr>
                <w:sz w:val="18"/>
                <w:szCs w:val="18"/>
              </w:rPr>
              <w:t>Strengthening Hospital Responses to Family Violence</w:t>
            </w:r>
          </w:p>
        </w:tc>
        <w:tc>
          <w:tcPr>
            <w:tcW w:w="2019" w:type="dxa"/>
          </w:tcPr>
          <w:p w14:paraId="40329C09" w14:textId="77777777" w:rsidR="00A62D14" w:rsidRPr="00E95D15" w:rsidRDefault="00A62D14" w:rsidP="00D0581F">
            <w:pPr>
              <w:rPr>
                <w:sz w:val="18"/>
                <w:szCs w:val="18"/>
              </w:rPr>
            </w:pPr>
            <w:r w:rsidRPr="00E95D15">
              <w:rPr>
                <w:sz w:val="18"/>
                <w:szCs w:val="18"/>
              </w:rPr>
              <w:t>Victorian Government initiative led by Royal Women’s Hospital and Bendigo Health</w:t>
            </w:r>
          </w:p>
        </w:tc>
        <w:tc>
          <w:tcPr>
            <w:tcW w:w="1809" w:type="dxa"/>
          </w:tcPr>
          <w:p w14:paraId="7098DCDC" w14:textId="77777777" w:rsidR="00A62D14" w:rsidRPr="00E95D15" w:rsidRDefault="00A62D14" w:rsidP="00D0581F">
            <w:pPr>
              <w:rPr>
                <w:sz w:val="18"/>
                <w:szCs w:val="18"/>
              </w:rPr>
            </w:pPr>
            <w:r w:rsidRPr="00E95D15">
              <w:rPr>
                <w:sz w:val="18"/>
                <w:szCs w:val="18"/>
              </w:rPr>
              <w:t>Framework for helping hospitals to respond to RC</w:t>
            </w:r>
          </w:p>
        </w:tc>
        <w:tc>
          <w:tcPr>
            <w:tcW w:w="1275" w:type="dxa"/>
          </w:tcPr>
          <w:p w14:paraId="335DCAB9" w14:textId="77777777" w:rsidR="00A62D14" w:rsidRPr="00E95D15" w:rsidRDefault="00A62D14" w:rsidP="00D0581F">
            <w:pPr>
              <w:rPr>
                <w:sz w:val="18"/>
                <w:szCs w:val="18"/>
              </w:rPr>
            </w:pPr>
            <w:r w:rsidRPr="00E95D15">
              <w:rPr>
                <w:sz w:val="18"/>
                <w:szCs w:val="18"/>
              </w:rPr>
              <w:t>No</w:t>
            </w:r>
          </w:p>
        </w:tc>
        <w:tc>
          <w:tcPr>
            <w:tcW w:w="1243" w:type="dxa"/>
          </w:tcPr>
          <w:p w14:paraId="3036FD24" w14:textId="77777777" w:rsidR="00A62D14" w:rsidRPr="00E95D15" w:rsidRDefault="00A62D14" w:rsidP="00D0581F">
            <w:pPr>
              <w:rPr>
                <w:sz w:val="18"/>
                <w:szCs w:val="18"/>
              </w:rPr>
            </w:pPr>
            <w:r w:rsidRPr="00E95D15">
              <w:rPr>
                <w:sz w:val="18"/>
                <w:szCs w:val="18"/>
              </w:rPr>
              <w:t>VIC</w:t>
            </w:r>
          </w:p>
        </w:tc>
        <w:tc>
          <w:tcPr>
            <w:tcW w:w="2443" w:type="dxa"/>
          </w:tcPr>
          <w:p w14:paraId="489A1110" w14:textId="77777777" w:rsidR="00A62D14" w:rsidRPr="00E95D15" w:rsidRDefault="00AC7E4D" w:rsidP="00D0581F">
            <w:pPr>
              <w:rPr>
                <w:color w:val="00B0F0"/>
                <w:sz w:val="18"/>
                <w:szCs w:val="18"/>
              </w:rPr>
            </w:pPr>
            <w:hyperlink r:id="rId22" w:history="1">
              <w:r w:rsidR="00A62D14" w:rsidRPr="00E95D15">
                <w:rPr>
                  <w:rStyle w:val="Hyperlink"/>
                  <w:color w:val="00B0F0"/>
                  <w:sz w:val="18"/>
                  <w:szCs w:val="18"/>
                </w:rPr>
                <w:t>https://www.thewomens.org.au/health-professionals/clinical-resources/strengthening-hospitals-response-to-family-violence</w:t>
              </w:r>
            </w:hyperlink>
          </w:p>
        </w:tc>
      </w:tr>
      <w:tr w:rsidR="00A62D14" w:rsidRPr="00E95D15" w14:paraId="79692B17" w14:textId="77777777" w:rsidTr="00FF73E8">
        <w:trPr>
          <w:trHeight w:val="1554"/>
        </w:trPr>
        <w:tc>
          <w:tcPr>
            <w:tcW w:w="1985" w:type="dxa"/>
          </w:tcPr>
          <w:p w14:paraId="23C73ABC" w14:textId="77777777" w:rsidR="00A62D14" w:rsidRPr="00E95D15" w:rsidRDefault="00A62D14" w:rsidP="00D0581F">
            <w:pPr>
              <w:rPr>
                <w:sz w:val="18"/>
                <w:szCs w:val="18"/>
              </w:rPr>
            </w:pPr>
            <w:r w:rsidRPr="00E95D15">
              <w:rPr>
                <w:sz w:val="18"/>
                <w:szCs w:val="18"/>
              </w:rPr>
              <w:t>Responding to Family and Domestic Violence Program</w:t>
            </w:r>
          </w:p>
        </w:tc>
        <w:tc>
          <w:tcPr>
            <w:tcW w:w="2019" w:type="dxa"/>
          </w:tcPr>
          <w:p w14:paraId="2D250D59" w14:textId="77777777" w:rsidR="00A62D14" w:rsidRPr="00E95D15" w:rsidRDefault="00A62D14" w:rsidP="00D0581F">
            <w:pPr>
              <w:rPr>
                <w:sz w:val="18"/>
                <w:szCs w:val="18"/>
              </w:rPr>
            </w:pPr>
            <w:r w:rsidRPr="00E95D15">
              <w:rPr>
                <w:sz w:val="18"/>
                <w:szCs w:val="18"/>
              </w:rPr>
              <w:t xml:space="preserve">Education, policy, </w:t>
            </w:r>
            <w:proofErr w:type="gramStart"/>
            <w:r w:rsidRPr="00E95D15">
              <w:rPr>
                <w:sz w:val="18"/>
                <w:szCs w:val="18"/>
              </w:rPr>
              <w:t>screening</w:t>
            </w:r>
            <w:proofErr w:type="gramEnd"/>
            <w:r w:rsidRPr="00E95D15">
              <w:rPr>
                <w:sz w:val="18"/>
                <w:szCs w:val="18"/>
              </w:rPr>
              <w:t xml:space="preserve"> and education program administered by Women’s Health Clinical Support Programs, Women and Newborn Health Service</w:t>
            </w:r>
          </w:p>
        </w:tc>
        <w:tc>
          <w:tcPr>
            <w:tcW w:w="1809" w:type="dxa"/>
          </w:tcPr>
          <w:p w14:paraId="017DDB04" w14:textId="77777777" w:rsidR="00A62D14" w:rsidRPr="00E95D15" w:rsidRDefault="00A62D14" w:rsidP="00D0581F">
            <w:pPr>
              <w:rPr>
                <w:sz w:val="18"/>
                <w:szCs w:val="18"/>
              </w:rPr>
            </w:pPr>
            <w:r w:rsidRPr="00E95D15">
              <w:rPr>
                <w:sz w:val="18"/>
                <w:szCs w:val="18"/>
              </w:rPr>
              <w:t xml:space="preserve">Guidelines, </w:t>
            </w:r>
            <w:proofErr w:type="gramStart"/>
            <w:r w:rsidRPr="00E95D15">
              <w:rPr>
                <w:sz w:val="18"/>
                <w:szCs w:val="18"/>
              </w:rPr>
              <w:t>screening</w:t>
            </w:r>
            <w:proofErr w:type="gramEnd"/>
            <w:r w:rsidRPr="00E95D15">
              <w:rPr>
                <w:sz w:val="18"/>
                <w:szCs w:val="18"/>
              </w:rPr>
              <w:t xml:space="preserve"> and training for all WA Health staff</w:t>
            </w:r>
          </w:p>
        </w:tc>
        <w:tc>
          <w:tcPr>
            <w:tcW w:w="1275" w:type="dxa"/>
          </w:tcPr>
          <w:p w14:paraId="5447C719" w14:textId="77777777" w:rsidR="00A62D14" w:rsidRPr="00E95D15" w:rsidRDefault="00A62D14" w:rsidP="00D0581F">
            <w:pPr>
              <w:rPr>
                <w:sz w:val="18"/>
                <w:szCs w:val="18"/>
              </w:rPr>
            </w:pPr>
            <w:r w:rsidRPr="00E95D15">
              <w:rPr>
                <w:sz w:val="18"/>
                <w:szCs w:val="18"/>
              </w:rPr>
              <w:t>No</w:t>
            </w:r>
          </w:p>
        </w:tc>
        <w:tc>
          <w:tcPr>
            <w:tcW w:w="1243" w:type="dxa"/>
          </w:tcPr>
          <w:p w14:paraId="60ADEF16" w14:textId="77777777" w:rsidR="00A62D14" w:rsidRPr="00E95D15" w:rsidRDefault="00A62D14" w:rsidP="00D0581F">
            <w:pPr>
              <w:rPr>
                <w:sz w:val="18"/>
                <w:szCs w:val="18"/>
              </w:rPr>
            </w:pPr>
            <w:r w:rsidRPr="00E95D15">
              <w:rPr>
                <w:sz w:val="18"/>
                <w:szCs w:val="18"/>
              </w:rPr>
              <w:t>WA</w:t>
            </w:r>
          </w:p>
        </w:tc>
        <w:tc>
          <w:tcPr>
            <w:tcW w:w="2443" w:type="dxa"/>
          </w:tcPr>
          <w:p w14:paraId="0BB9FE9B" w14:textId="77777777" w:rsidR="00A62D14" w:rsidRPr="00E95D15" w:rsidRDefault="00AC7E4D" w:rsidP="00D0581F">
            <w:pPr>
              <w:rPr>
                <w:color w:val="00B0F0"/>
                <w:sz w:val="18"/>
                <w:szCs w:val="18"/>
              </w:rPr>
            </w:pPr>
            <w:hyperlink r:id="rId23" w:history="1">
              <w:r w:rsidR="00A62D14" w:rsidRPr="00E95D15">
                <w:rPr>
                  <w:rStyle w:val="Hyperlink"/>
                  <w:color w:val="00B0F0"/>
                  <w:sz w:val="18"/>
                  <w:szCs w:val="18"/>
                </w:rPr>
                <w:t>https://ww2.health.wa.gov.au/Articles/F_I/Family-and-domestic-violence-guideline-reference-manual-policy-education-and-training</w:t>
              </w:r>
            </w:hyperlink>
          </w:p>
        </w:tc>
      </w:tr>
      <w:tr w:rsidR="00A62D14" w:rsidRPr="00E95D15" w14:paraId="73C9B754" w14:textId="77777777" w:rsidTr="00FF73E8">
        <w:trPr>
          <w:trHeight w:val="1565"/>
        </w:trPr>
        <w:tc>
          <w:tcPr>
            <w:tcW w:w="1985" w:type="dxa"/>
          </w:tcPr>
          <w:p w14:paraId="52A706B1" w14:textId="77777777" w:rsidR="00A62D14" w:rsidRPr="00E95D15" w:rsidRDefault="00A62D14" w:rsidP="00D0581F">
            <w:pPr>
              <w:rPr>
                <w:sz w:val="18"/>
                <w:szCs w:val="18"/>
              </w:rPr>
            </w:pPr>
            <w:r w:rsidRPr="00E95D15">
              <w:rPr>
                <w:sz w:val="18"/>
                <w:szCs w:val="18"/>
              </w:rPr>
              <w:t>Domestic Violence Routine Screening Program</w:t>
            </w:r>
          </w:p>
        </w:tc>
        <w:tc>
          <w:tcPr>
            <w:tcW w:w="2019" w:type="dxa"/>
          </w:tcPr>
          <w:p w14:paraId="6CB89F85" w14:textId="134C459E" w:rsidR="00A62D14" w:rsidRPr="00E95D15" w:rsidRDefault="00A62D14" w:rsidP="00D0581F">
            <w:pPr>
              <w:rPr>
                <w:sz w:val="18"/>
                <w:szCs w:val="18"/>
              </w:rPr>
            </w:pPr>
            <w:r w:rsidRPr="00E95D15">
              <w:rPr>
                <w:sz w:val="18"/>
                <w:szCs w:val="18"/>
              </w:rPr>
              <w:t xml:space="preserve">A screening tool for healthcare workers with questions about domestic and reproductive coercion being asked at the initial antenatal visit developed by NSW Health </w:t>
            </w:r>
          </w:p>
        </w:tc>
        <w:tc>
          <w:tcPr>
            <w:tcW w:w="1809" w:type="dxa"/>
          </w:tcPr>
          <w:p w14:paraId="01CCAEC0" w14:textId="70178055" w:rsidR="00A62D14" w:rsidRPr="00E95D15" w:rsidRDefault="00A62D14" w:rsidP="00D0581F">
            <w:pPr>
              <w:rPr>
                <w:sz w:val="18"/>
                <w:szCs w:val="18"/>
              </w:rPr>
            </w:pPr>
            <w:r w:rsidRPr="00E95D15">
              <w:rPr>
                <w:sz w:val="18"/>
                <w:szCs w:val="18"/>
              </w:rPr>
              <w:t>Routine screening for domestic and reproductive coercion in healthcare settings</w:t>
            </w:r>
          </w:p>
        </w:tc>
        <w:tc>
          <w:tcPr>
            <w:tcW w:w="1275" w:type="dxa"/>
          </w:tcPr>
          <w:p w14:paraId="2458B1ED" w14:textId="77777777" w:rsidR="00A62D14" w:rsidRPr="00E95D15" w:rsidRDefault="00A62D14" w:rsidP="00D0581F">
            <w:pPr>
              <w:rPr>
                <w:sz w:val="18"/>
                <w:szCs w:val="18"/>
              </w:rPr>
            </w:pPr>
            <w:r w:rsidRPr="00E95D15">
              <w:rPr>
                <w:sz w:val="18"/>
                <w:szCs w:val="18"/>
              </w:rPr>
              <w:t>No</w:t>
            </w:r>
          </w:p>
        </w:tc>
        <w:tc>
          <w:tcPr>
            <w:tcW w:w="1243" w:type="dxa"/>
          </w:tcPr>
          <w:p w14:paraId="79AE9116" w14:textId="77777777" w:rsidR="00A62D14" w:rsidRPr="00E95D15" w:rsidRDefault="00A62D14" w:rsidP="00D0581F">
            <w:pPr>
              <w:rPr>
                <w:sz w:val="18"/>
                <w:szCs w:val="18"/>
              </w:rPr>
            </w:pPr>
            <w:r w:rsidRPr="00E95D15">
              <w:rPr>
                <w:sz w:val="18"/>
                <w:szCs w:val="18"/>
              </w:rPr>
              <w:t>NSW</w:t>
            </w:r>
          </w:p>
        </w:tc>
        <w:tc>
          <w:tcPr>
            <w:tcW w:w="2443" w:type="dxa"/>
          </w:tcPr>
          <w:p w14:paraId="3900EE7B" w14:textId="77777777" w:rsidR="00A62D14" w:rsidRPr="00E95D15" w:rsidRDefault="00A62D14" w:rsidP="00D0581F">
            <w:pPr>
              <w:rPr>
                <w:color w:val="00B0F0"/>
                <w:sz w:val="18"/>
                <w:szCs w:val="18"/>
              </w:rPr>
            </w:pPr>
            <w:r w:rsidRPr="00E95D15">
              <w:rPr>
                <w:color w:val="00B0F0"/>
                <w:sz w:val="18"/>
                <w:szCs w:val="18"/>
              </w:rPr>
              <w:t>https://www.health.nsw.gov.au/parvan/DV/Pages/dvrs.aspx</w:t>
            </w:r>
          </w:p>
        </w:tc>
      </w:tr>
      <w:tr w:rsidR="00A62D14" w:rsidRPr="00E95D15" w14:paraId="3F33D598" w14:textId="77777777" w:rsidTr="00FF73E8">
        <w:trPr>
          <w:trHeight w:val="1800"/>
        </w:trPr>
        <w:tc>
          <w:tcPr>
            <w:tcW w:w="1985" w:type="dxa"/>
          </w:tcPr>
          <w:p w14:paraId="1C8AF8C5" w14:textId="77777777" w:rsidR="00A62D14" w:rsidRPr="00E95D15" w:rsidRDefault="00A62D14" w:rsidP="00D0581F">
            <w:pPr>
              <w:rPr>
                <w:sz w:val="18"/>
                <w:szCs w:val="18"/>
              </w:rPr>
            </w:pPr>
            <w:r w:rsidRPr="00E95D15">
              <w:rPr>
                <w:sz w:val="18"/>
                <w:szCs w:val="18"/>
              </w:rPr>
              <w:t>Common Risk Assessment Framework (CRAF)</w:t>
            </w:r>
          </w:p>
        </w:tc>
        <w:tc>
          <w:tcPr>
            <w:tcW w:w="2019" w:type="dxa"/>
          </w:tcPr>
          <w:p w14:paraId="1A765CBC" w14:textId="50A33716" w:rsidR="00A62D14" w:rsidRPr="00E95D15" w:rsidRDefault="00A62D14" w:rsidP="00D0581F">
            <w:pPr>
              <w:rPr>
                <w:sz w:val="18"/>
                <w:szCs w:val="18"/>
              </w:rPr>
            </w:pPr>
            <w:r w:rsidRPr="00E95D15">
              <w:rPr>
                <w:sz w:val="18"/>
                <w:szCs w:val="18"/>
              </w:rPr>
              <w:t xml:space="preserve">Risk assessment tool that provides guidance on screening questions and possible prompts for practitioners in a variety of settings developed by the </w:t>
            </w:r>
            <w:r w:rsidR="00D44C94" w:rsidRPr="00E95D15">
              <w:rPr>
                <w:sz w:val="18"/>
                <w:szCs w:val="18"/>
              </w:rPr>
              <w:t>Department</w:t>
            </w:r>
            <w:r w:rsidRPr="00E95D15">
              <w:rPr>
                <w:sz w:val="18"/>
                <w:szCs w:val="18"/>
              </w:rPr>
              <w:t xml:space="preserve"> of Health and Human Services, Victoria</w:t>
            </w:r>
          </w:p>
        </w:tc>
        <w:tc>
          <w:tcPr>
            <w:tcW w:w="1809" w:type="dxa"/>
          </w:tcPr>
          <w:p w14:paraId="49D0507E" w14:textId="20852AB9" w:rsidR="00A62D14" w:rsidRPr="00E95D15" w:rsidRDefault="00A62D14" w:rsidP="00D0581F">
            <w:pPr>
              <w:rPr>
                <w:sz w:val="18"/>
                <w:szCs w:val="18"/>
              </w:rPr>
            </w:pPr>
            <w:r w:rsidRPr="00E95D15">
              <w:rPr>
                <w:sz w:val="18"/>
                <w:szCs w:val="18"/>
              </w:rPr>
              <w:t>To assist professionals and practitioners to identify risks associated with reproductive coercion to respond appropriately.</w:t>
            </w:r>
          </w:p>
        </w:tc>
        <w:tc>
          <w:tcPr>
            <w:tcW w:w="1275" w:type="dxa"/>
          </w:tcPr>
          <w:p w14:paraId="57ACD474" w14:textId="77777777" w:rsidR="00A62D14" w:rsidRPr="00E95D15" w:rsidRDefault="00A62D14" w:rsidP="00D0581F">
            <w:pPr>
              <w:rPr>
                <w:sz w:val="18"/>
                <w:szCs w:val="18"/>
              </w:rPr>
            </w:pPr>
            <w:r w:rsidRPr="00E95D15">
              <w:rPr>
                <w:sz w:val="18"/>
                <w:szCs w:val="18"/>
              </w:rPr>
              <w:t>No</w:t>
            </w:r>
          </w:p>
        </w:tc>
        <w:tc>
          <w:tcPr>
            <w:tcW w:w="1243" w:type="dxa"/>
          </w:tcPr>
          <w:p w14:paraId="1C5F4873" w14:textId="77777777" w:rsidR="00A62D14" w:rsidRPr="00E95D15" w:rsidRDefault="00A62D14" w:rsidP="00D0581F">
            <w:pPr>
              <w:rPr>
                <w:sz w:val="18"/>
                <w:szCs w:val="18"/>
              </w:rPr>
            </w:pPr>
            <w:r w:rsidRPr="00E95D15">
              <w:rPr>
                <w:sz w:val="18"/>
                <w:szCs w:val="18"/>
              </w:rPr>
              <w:t>VIC</w:t>
            </w:r>
          </w:p>
        </w:tc>
        <w:tc>
          <w:tcPr>
            <w:tcW w:w="2443" w:type="dxa"/>
          </w:tcPr>
          <w:p w14:paraId="0E6B233F" w14:textId="77777777" w:rsidR="00A62D14" w:rsidRPr="00E95D15" w:rsidRDefault="00AC7E4D" w:rsidP="00D0581F">
            <w:pPr>
              <w:rPr>
                <w:color w:val="00B0F0"/>
                <w:sz w:val="18"/>
                <w:szCs w:val="18"/>
              </w:rPr>
            </w:pPr>
            <w:hyperlink r:id="rId24" w:history="1">
              <w:r w:rsidR="00A62D14" w:rsidRPr="00E95D15">
                <w:rPr>
                  <w:rStyle w:val="Hyperlink"/>
                  <w:color w:val="00B0F0"/>
                  <w:sz w:val="18"/>
                  <w:szCs w:val="18"/>
                </w:rPr>
                <w:t>https://providers.dhhs.vic.gov.au/family-violence-risk-assessment-and-risk-management-framework</w:t>
              </w:r>
            </w:hyperlink>
          </w:p>
        </w:tc>
      </w:tr>
      <w:tr w:rsidR="00A62D14" w:rsidRPr="00E95D15" w14:paraId="2122137B" w14:textId="77777777" w:rsidTr="00FF73E8">
        <w:trPr>
          <w:trHeight w:val="1084"/>
        </w:trPr>
        <w:tc>
          <w:tcPr>
            <w:tcW w:w="1985" w:type="dxa"/>
          </w:tcPr>
          <w:p w14:paraId="4295FA6A" w14:textId="77777777" w:rsidR="00A62D14" w:rsidRPr="00E95D15" w:rsidRDefault="00A62D14" w:rsidP="00D0581F">
            <w:pPr>
              <w:rPr>
                <w:sz w:val="18"/>
                <w:szCs w:val="18"/>
              </w:rPr>
            </w:pPr>
            <w:r w:rsidRPr="00E95D15">
              <w:rPr>
                <w:sz w:val="18"/>
                <w:szCs w:val="18"/>
              </w:rPr>
              <w:t>Domestic Violence Risk Assessment Questionnaire</w:t>
            </w:r>
          </w:p>
        </w:tc>
        <w:tc>
          <w:tcPr>
            <w:tcW w:w="2019" w:type="dxa"/>
          </w:tcPr>
          <w:p w14:paraId="0EB49851" w14:textId="2FC4CBFB" w:rsidR="00A62D14" w:rsidRPr="00E95D15" w:rsidRDefault="00A62D14" w:rsidP="00D0581F">
            <w:pPr>
              <w:rPr>
                <w:sz w:val="18"/>
                <w:szCs w:val="18"/>
              </w:rPr>
            </w:pPr>
            <w:r w:rsidRPr="00E95D15">
              <w:rPr>
                <w:sz w:val="18"/>
                <w:szCs w:val="18"/>
              </w:rPr>
              <w:t>Risk assessment questionnaire most often used in maternity hospitals developed by Queensland Health</w:t>
            </w:r>
          </w:p>
        </w:tc>
        <w:tc>
          <w:tcPr>
            <w:tcW w:w="1809" w:type="dxa"/>
          </w:tcPr>
          <w:p w14:paraId="41440CCE" w14:textId="77777777" w:rsidR="00A62D14" w:rsidRPr="00E95D15" w:rsidRDefault="00A62D14" w:rsidP="00D0581F">
            <w:pPr>
              <w:rPr>
                <w:sz w:val="18"/>
                <w:szCs w:val="18"/>
              </w:rPr>
            </w:pPr>
            <w:r w:rsidRPr="00E95D15">
              <w:rPr>
                <w:sz w:val="18"/>
                <w:szCs w:val="18"/>
              </w:rPr>
              <w:t>Routine screening tool for hospitals with psychosocial questionnaire attached (Safe Start).</w:t>
            </w:r>
          </w:p>
        </w:tc>
        <w:tc>
          <w:tcPr>
            <w:tcW w:w="1275" w:type="dxa"/>
          </w:tcPr>
          <w:p w14:paraId="6AAC0935" w14:textId="77777777" w:rsidR="00A62D14" w:rsidRPr="00E95D15" w:rsidRDefault="00A62D14" w:rsidP="00D0581F">
            <w:pPr>
              <w:rPr>
                <w:sz w:val="18"/>
                <w:szCs w:val="18"/>
              </w:rPr>
            </w:pPr>
            <w:r w:rsidRPr="00E95D15">
              <w:rPr>
                <w:sz w:val="18"/>
                <w:szCs w:val="18"/>
              </w:rPr>
              <w:t>No</w:t>
            </w:r>
          </w:p>
        </w:tc>
        <w:tc>
          <w:tcPr>
            <w:tcW w:w="1243" w:type="dxa"/>
          </w:tcPr>
          <w:p w14:paraId="64EA364E" w14:textId="77777777" w:rsidR="00A62D14" w:rsidRPr="00E95D15" w:rsidRDefault="00A62D14" w:rsidP="00D0581F">
            <w:pPr>
              <w:rPr>
                <w:sz w:val="18"/>
                <w:szCs w:val="18"/>
              </w:rPr>
            </w:pPr>
            <w:r w:rsidRPr="00E95D15">
              <w:rPr>
                <w:sz w:val="18"/>
                <w:szCs w:val="18"/>
              </w:rPr>
              <w:t>QLD</w:t>
            </w:r>
          </w:p>
        </w:tc>
        <w:tc>
          <w:tcPr>
            <w:tcW w:w="2443" w:type="dxa"/>
          </w:tcPr>
          <w:p w14:paraId="08323870" w14:textId="77777777" w:rsidR="00A62D14" w:rsidRPr="00E95D15" w:rsidRDefault="00AC7E4D" w:rsidP="00D0581F">
            <w:pPr>
              <w:rPr>
                <w:color w:val="00B0F0"/>
                <w:sz w:val="18"/>
                <w:szCs w:val="18"/>
              </w:rPr>
            </w:pPr>
            <w:hyperlink r:id="rId25" w:history="1">
              <w:r w:rsidR="00A62D14" w:rsidRPr="00E95D15">
                <w:rPr>
                  <w:rStyle w:val="Hyperlink"/>
                  <w:color w:val="00B0F0"/>
                  <w:sz w:val="18"/>
                  <w:szCs w:val="18"/>
                </w:rPr>
                <w:t>https://www.health.qld.gov.au/__data/assets/pdf_file/0032/712688/qh-gdl-456.pdf</w:t>
              </w:r>
            </w:hyperlink>
          </w:p>
          <w:p w14:paraId="09ABDBF6" w14:textId="77777777" w:rsidR="00A62D14" w:rsidRPr="00E95D15" w:rsidRDefault="00A62D14" w:rsidP="00D0581F">
            <w:pPr>
              <w:rPr>
                <w:color w:val="00B0F0"/>
                <w:sz w:val="18"/>
                <w:szCs w:val="18"/>
              </w:rPr>
            </w:pPr>
          </w:p>
        </w:tc>
      </w:tr>
      <w:tr w:rsidR="00A62D14" w:rsidRPr="00E95D15" w14:paraId="1C3AA5DE" w14:textId="77777777" w:rsidTr="00FF73E8">
        <w:trPr>
          <w:trHeight w:val="1196"/>
        </w:trPr>
        <w:tc>
          <w:tcPr>
            <w:tcW w:w="1985" w:type="dxa"/>
          </w:tcPr>
          <w:p w14:paraId="3352287B" w14:textId="77777777" w:rsidR="00A62D14" w:rsidRPr="00E95D15" w:rsidRDefault="00A62D14" w:rsidP="00D0581F">
            <w:pPr>
              <w:rPr>
                <w:sz w:val="18"/>
                <w:szCs w:val="18"/>
              </w:rPr>
            </w:pPr>
            <w:r w:rsidRPr="00E95D15">
              <w:rPr>
                <w:sz w:val="18"/>
                <w:szCs w:val="18"/>
              </w:rPr>
              <w:t>Domestic Violence Safety Assessment Tool</w:t>
            </w:r>
          </w:p>
        </w:tc>
        <w:tc>
          <w:tcPr>
            <w:tcW w:w="2019" w:type="dxa"/>
          </w:tcPr>
          <w:p w14:paraId="71E7C581" w14:textId="77777777" w:rsidR="00A62D14" w:rsidRPr="00E95D15" w:rsidRDefault="00A62D14" w:rsidP="00D0581F">
            <w:pPr>
              <w:rPr>
                <w:sz w:val="18"/>
                <w:szCs w:val="18"/>
              </w:rPr>
            </w:pPr>
            <w:r w:rsidRPr="00E95D15">
              <w:rPr>
                <w:sz w:val="18"/>
                <w:szCs w:val="18"/>
              </w:rPr>
              <w:t>Risk assessment tool for professionals and practitioners other than NSW police force</w:t>
            </w:r>
          </w:p>
        </w:tc>
        <w:tc>
          <w:tcPr>
            <w:tcW w:w="1809" w:type="dxa"/>
          </w:tcPr>
          <w:p w14:paraId="6390E95C" w14:textId="77777777" w:rsidR="00A62D14" w:rsidRPr="00E95D15" w:rsidRDefault="00A62D14" w:rsidP="00D0581F">
            <w:pPr>
              <w:rPr>
                <w:sz w:val="18"/>
                <w:szCs w:val="18"/>
              </w:rPr>
            </w:pPr>
            <w:r w:rsidRPr="00E95D15">
              <w:rPr>
                <w:sz w:val="18"/>
                <w:szCs w:val="18"/>
              </w:rPr>
              <w:t>Risk assessment and screening tool for people experiencing IPV</w:t>
            </w:r>
          </w:p>
        </w:tc>
        <w:tc>
          <w:tcPr>
            <w:tcW w:w="1275" w:type="dxa"/>
          </w:tcPr>
          <w:p w14:paraId="4955663B" w14:textId="77777777" w:rsidR="00A62D14" w:rsidRPr="00E95D15" w:rsidRDefault="00A62D14" w:rsidP="00D0581F">
            <w:pPr>
              <w:rPr>
                <w:sz w:val="18"/>
                <w:szCs w:val="18"/>
              </w:rPr>
            </w:pPr>
            <w:r w:rsidRPr="00E95D15">
              <w:rPr>
                <w:sz w:val="18"/>
                <w:szCs w:val="18"/>
              </w:rPr>
              <w:t>No</w:t>
            </w:r>
          </w:p>
        </w:tc>
        <w:tc>
          <w:tcPr>
            <w:tcW w:w="1243" w:type="dxa"/>
          </w:tcPr>
          <w:p w14:paraId="6C3FD047" w14:textId="77777777" w:rsidR="00A62D14" w:rsidRPr="00E95D15" w:rsidRDefault="00A62D14" w:rsidP="00D0581F">
            <w:pPr>
              <w:rPr>
                <w:sz w:val="18"/>
                <w:szCs w:val="18"/>
              </w:rPr>
            </w:pPr>
            <w:r w:rsidRPr="00E95D15">
              <w:rPr>
                <w:sz w:val="18"/>
                <w:szCs w:val="18"/>
              </w:rPr>
              <w:t>NSW</w:t>
            </w:r>
          </w:p>
        </w:tc>
        <w:tc>
          <w:tcPr>
            <w:tcW w:w="2443" w:type="dxa"/>
          </w:tcPr>
          <w:p w14:paraId="672634BE" w14:textId="77777777" w:rsidR="00A62D14" w:rsidRPr="00E95D15" w:rsidRDefault="00AC7E4D" w:rsidP="00D0581F">
            <w:pPr>
              <w:rPr>
                <w:color w:val="00B0F0"/>
                <w:sz w:val="18"/>
                <w:szCs w:val="18"/>
              </w:rPr>
            </w:pPr>
            <w:hyperlink r:id="rId26" w:history="1">
              <w:r w:rsidR="00A62D14" w:rsidRPr="00E95D15">
                <w:rPr>
                  <w:rStyle w:val="Hyperlink"/>
                  <w:color w:val="00B0F0"/>
                  <w:sz w:val="18"/>
                  <w:szCs w:val="18"/>
                </w:rPr>
                <w:t>http://www.domesticviolence.nsw.gov.au/__data/assets/file/0020/301178/DVSAT.pdf</w:t>
              </w:r>
            </w:hyperlink>
          </w:p>
          <w:p w14:paraId="3FC24E17" w14:textId="77777777" w:rsidR="00A62D14" w:rsidRPr="00E95D15" w:rsidRDefault="00A62D14" w:rsidP="00D0581F">
            <w:pPr>
              <w:rPr>
                <w:color w:val="00B0F0"/>
                <w:sz w:val="18"/>
                <w:szCs w:val="18"/>
              </w:rPr>
            </w:pPr>
          </w:p>
        </w:tc>
      </w:tr>
      <w:tr w:rsidR="00A62D14" w:rsidRPr="00E95D15" w14:paraId="63C55A62" w14:textId="77777777" w:rsidTr="00FF73E8">
        <w:trPr>
          <w:trHeight w:val="1330"/>
        </w:trPr>
        <w:tc>
          <w:tcPr>
            <w:tcW w:w="1985" w:type="dxa"/>
          </w:tcPr>
          <w:p w14:paraId="10FA0381" w14:textId="77777777" w:rsidR="00A62D14" w:rsidRPr="00E95D15" w:rsidRDefault="00A62D14" w:rsidP="00D0581F">
            <w:pPr>
              <w:rPr>
                <w:sz w:val="18"/>
                <w:szCs w:val="18"/>
              </w:rPr>
            </w:pPr>
            <w:r w:rsidRPr="00E95D15">
              <w:rPr>
                <w:sz w:val="18"/>
                <w:szCs w:val="18"/>
              </w:rPr>
              <w:lastRenderedPageBreak/>
              <w:t>Antenatal Risk Questionnaire</w:t>
            </w:r>
          </w:p>
        </w:tc>
        <w:tc>
          <w:tcPr>
            <w:tcW w:w="2019" w:type="dxa"/>
          </w:tcPr>
          <w:p w14:paraId="626514C6" w14:textId="77777777" w:rsidR="00A62D14" w:rsidRPr="00E95D15" w:rsidRDefault="00A62D14" w:rsidP="00D0581F">
            <w:pPr>
              <w:rPr>
                <w:sz w:val="18"/>
                <w:szCs w:val="18"/>
              </w:rPr>
            </w:pPr>
            <w:r w:rsidRPr="00E95D15">
              <w:rPr>
                <w:sz w:val="18"/>
                <w:szCs w:val="18"/>
              </w:rPr>
              <w:t>Risk assessment tool that determines likelihood of perinatal health morbidity</w:t>
            </w:r>
          </w:p>
        </w:tc>
        <w:tc>
          <w:tcPr>
            <w:tcW w:w="1809" w:type="dxa"/>
          </w:tcPr>
          <w:p w14:paraId="177E109A" w14:textId="2BD22EAE" w:rsidR="00A62D14" w:rsidRPr="00E95D15" w:rsidRDefault="00A62D14" w:rsidP="00D0581F">
            <w:pPr>
              <w:rPr>
                <w:sz w:val="18"/>
                <w:szCs w:val="18"/>
              </w:rPr>
            </w:pPr>
            <w:r w:rsidRPr="00E95D15">
              <w:rPr>
                <w:sz w:val="18"/>
                <w:szCs w:val="18"/>
              </w:rPr>
              <w:t>Questionnaire designed to highlight risk factors thought to increase the risk that women may develop perinatal mental health morbidity</w:t>
            </w:r>
          </w:p>
        </w:tc>
        <w:tc>
          <w:tcPr>
            <w:tcW w:w="1275" w:type="dxa"/>
          </w:tcPr>
          <w:p w14:paraId="5A4FA3B5" w14:textId="77777777" w:rsidR="00A62D14" w:rsidRPr="00E95D15" w:rsidRDefault="00A62D14" w:rsidP="00D0581F">
            <w:pPr>
              <w:rPr>
                <w:sz w:val="18"/>
                <w:szCs w:val="18"/>
              </w:rPr>
            </w:pPr>
            <w:r w:rsidRPr="00E95D15">
              <w:rPr>
                <w:sz w:val="18"/>
                <w:szCs w:val="18"/>
              </w:rPr>
              <w:t>No</w:t>
            </w:r>
          </w:p>
        </w:tc>
        <w:tc>
          <w:tcPr>
            <w:tcW w:w="1243" w:type="dxa"/>
          </w:tcPr>
          <w:p w14:paraId="3C4846B3" w14:textId="77777777" w:rsidR="00A62D14" w:rsidRPr="00E95D15" w:rsidRDefault="00A62D14" w:rsidP="00D0581F">
            <w:pPr>
              <w:rPr>
                <w:sz w:val="18"/>
                <w:szCs w:val="18"/>
              </w:rPr>
            </w:pPr>
            <w:r w:rsidRPr="00E95D15">
              <w:rPr>
                <w:sz w:val="18"/>
                <w:szCs w:val="18"/>
              </w:rPr>
              <w:t>SA</w:t>
            </w:r>
          </w:p>
        </w:tc>
        <w:tc>
          <w:tcPr>
            <w:tcW w:w="2443" w:type="dxa"/>
          </w:tcPr>
          <w:p w14:paraId="3BCD02BD" w14:textId="77777777" w:rsidR="00A62D14" w:rsidRPr="00E95D15" w:rsidRDefault="00AC7E4D" w:rsidP="00D0581F">
            <w:pPr>
              <w:rPr>
                <w:color w:val="00B0F0"/>
                <w:sz w:val="18"/>
                <w:szCs w:val="18"/>
              </w:rPr>
            </w:pPr>
            <w:hyperlink r:id="rId27" w:history="1">
              <w:r w:rsidR="00A62D14" w:rsidRPr="00E95D15">
                <w:rPr>
                  <w:rStyle w:val="Hyperlink"/>
                  <w:color w:val="00B0F0"/>
                  <w:sz w:val="18"/>
                  <w:szCs w:val="18"/>
                </w:rPr>
                <w:t>http://cope.org.au/wp-content/uploads/2017/11/ANRQ-_Questionnaire.pdf</w:t>
              </w:r>
            </w:hyperlink>
          </w:p>
          <w:p w14:paraId="42EEF1F7" w14:textId="77777777" w:rsidR="00A62D14" w:rsidRPr="00E95D15" w:rsidRDefault="00A62D14" w:rsidP="00D0581F">
            <w:pPr>
              <w:rPr>
                <w:color w:val="00B0F0"/>
                <w:sz w:val="18"/>
                <w:szCs w:val="18"/>
              </w:rPr>
            </w:pPr>
          </w:p>
        </w:tc>
      </w:tr>
      <w:tr w:rsidR="00A62D14" w:rsidRPr="00E95D15" w14:paraId="6B7E15E9" w14:textId="77777777" w:rsidTr="00FF73E8">
        <w:trPr>
          <w:trHeight w:val="951"/>
        </w:trPr>
        <w:tc>
          <w:tcPr>
            <w:tcW w:w="1985" w:type="dxa"/>
          </w:tcPr>
          <w:p w14:paraId="252950A6" w14:textId="77777777" w:rsidR="00A62D14" w:rsidRPr="00E95D15" w:rsidRDefault="00A62D14" w:rsidP="00D0581F">
            <w:pPr>
              <w:rPr>
                <w:sz w:val="18"/>
                <w:szCs w:val="18"/>
              </w:rPr>
            </w:pPr>
            <w:r w:rsidRPr="00E95D15">
              <w:rPr>
                <w:sz w:val="18"/>
                <w:szCs w:val="18"/>
              </w:rPr>
              <w:t>Domestic and Family Violence Survey</w:t>
            </w:r>
          </w:p>
        </w:tc>
        <w:tc>
          <w:tcPr>
            <w:tcW w:w="2019" w:type="dxa"/>
          </w:tcPr>
          <w:p w14:paraId="3D07AB20" w14:textId="77777777" w:rsidR="00A62D14" w:rsidRPr="00E95D15" w:rsidRDefault="00A62D14" w:rsidP="00D0581F">
            <w:pPr>
              <w:rPr>
                <w:sz w:val="18"/>
                <w:szCs w:val="18"/>
              </w:rPr>
            </w:pPr>
            <w:r w:rsidRPr="00E95D15">
              <w:rPr>
                <w:sz w:val="18"/>
                <w:szCs w:val="18"/>
              </w:rPr>
              <w:t>The survey tool is used for women 18 years and over at antenatal clinics and Home Birth Services with de-identified data provided to the government.</w:t>
            </w:r>
          </w:p>
          <w:p w14:paraId="6A3CB4A7" w14:textId="3955A287" w:rsidR="00A62D14" w:rsidRPr="00E95D15" w:rsidRDefault="00A62D14" w:rsidP="00D0581F">
            <w:pPr>
              <w:rPr>
                <w:sz w:val="18"/>
                <w:szCs w:val="18"/>
              </w:rPr>
            </w:pPr>
            <w:r w:rsidRPr="00E95D15">
              <w:rPr>
                <w:sz w:val="18"/>
                <w:szCs w:val="18"/>
              </w:rPr>
              <w:t>Mandatory reporting of domestic and reproductive coercion is in place in the NT</w:t>
            </w:r>
          </w:p>
        </w:tc>
        <w:tc>
          <w:tcPr>
            <w:tcW w:w="1809" w:type="dxa"/>
          </w:tcPr>
          <w:p w14:paraId="35EB5631" w14:textId="2548DC4D" w:rsidR="00A62D14" w:rsidRPr="00E95D15" w:rsidRDefault="00A62D14" w:rsidP="00D0581F">
            <w:pPr>
              <w:rPr>
                <w:sz w:val="18"/>
                <w:szCs w:val="18"/>
              </w:rPr>
            </w:pPr>
            <w:r w:rsidRPr="00E95D15">
              <w:rPr>
                <w:sz w:val="18"/>
                <w:szCs w:val="18"/>
              </w:rPr>
              <w:t>To screen for domestic and reproductive coercion in antenatal settings</w:t>
            </w:r>
          </w:p>
        </w:tc>
        <w:tc>
          <w:tcPr>
            <w:tcW w:w="1275" w:type="dxa"/>
          </w:tcPr>
          <w:p w14:paraId="20566261" w14:textId="77777777" w:rsidR="00A62D14" w:rsidRPr="00E95D15" w:rsidRDefault="00A62D14" w:rsidP="00D0581F">
            <w:pPr>
              <w:rPr>
                <w:sz w:val="18"/>
                <w:szCs w:val="18"/>
              </w:rPr>
            </w:pPr>
            <w:r w:rsidRPr="00E95D15">
              <w:rPr>
                <w:sz w:val="18"/>
                <w:szCs w:val="18"/>
              </w:rPr>
              <w:t>No</w:t>
            </w:r>
          </w:p>
        </w:tc>
        <w:tc>
          <w:tcPr>
            <w:tcW w:w="1243" w:type="dxa"/>
          </w:tcPr>
          <w:p w14:paraId="2D08EF24" w14:textId="77777777" w:rsidR="00A62D14" w:rsidRPr="00E95D15" w:rsidRDefault="00A62D14" w:rsidP="00D0581F">
            <w:pPr>
              <w:rPr>
                <w:sz w:val="18"/>
                <w:szCs w:val="18"/>
              </w:rPr>
            </w:pPr>
            <w:r w:rsidRPr="00E95D15">
              <w:rPr>
                <w:sz w:val="18"/>
                <w:szCs w:val="18"/>
              </w:rPr>
              <w:t>NT</w:t>
            </w:r>
          </w:p>
        </w:tc>
        <w:tc>
          <w:tcPr>
            <w:tcW w:w="2443" w:type="dxa"/>
          </w:tcPr>
          <w:p w14:paraId="4ACB11FE" w14:textId="77777777" w:rsidR="00A62D14" w:rsidRPr="00E95D15" w:rsidRDefault="00AC7E4D" w:rsidP="00D0581F">
            <w:pPr>
              <w:rPr>
                <w:color w:val="00B0F0"/>
                <w:sz w:val="18"/>
                <w:szCs w:val="18"/>
              </w:rPr>
            </w:pPr>
            <w:hyperlink r:id="rId28" w:history="1">
              <w:r w:rsidR="00A62D14" w:rsidRPr="00E95D15">
                <w:rPr>
                  <w:rStyle w:val="Hyperlink"/>
                  <w:color w:val="00B0F0"/>
                  <w:sz w:val="18"/>
                  <w:szCs w:val="18"/>
                </w:rPr>
                <w:t>https://territoryfamilies.nt.gov.au/domestic-violence/domestic-and-family-violence-reduction-strategy</w:t>
              </w:r>
            </w:hyperlink>
          </w:p>
        </w:tc>
      </w:tr>
      <w:tr w:rsidR="00A62D14" w:rsidRPr="00E95D15" w14:paraId="6847E934" w14:textId="77777777" w:rsidTr="00FF73E8">
        <w:trPr>
          <w:trHeight w:val="1565"/>
        </w:trPr>
        <w:tc>
          <w:tcPr>
            <w:tcW w:w="1985" w:type="dxa"/>
          </w:tcPr>
          <w:p w14:paraId="5F1B8746" w14:textId="77777777" w:rsidR="00A62D14" w:rsidRPr="00E95D15" w:rsidRDefault="00A62D14" w:rsidP="00D0581F">
            <w:pPr>
              <w:rPr>
                <w:sz w:val="18"/>
                <w:szCs w:val="18"/>
              </w:rPr>
            </w:pPr>
            <w:proofErr w:type="spellStart"/>
            <w:r w:rsidRPr="00E95D15">
              <w:rPr>
                <w:sz w:val="18"/>
                <w:szCs w:val="18"/>
              </w:rPr>
              <w:t>ObstetrixTas</w:t>
            </w:r>
            <w:proofErr w:type="spellEnd"/>
          </w:p>
        </w:tc>
        <w:tc>
          <w:tcPr>
            <w:tcW w:w="2019" w:type="dxa"/>
          </w:tcPr>
          <w:p w14:paraId="3E217D8B" w14:textId="77777777" w:rsidR="00A62D14" w:rsidRPr="00E95D15" w:rsidRDefault="00A62D14" w:rsidP="00D0581F">
            <w:pPr>
              <w:rPr>
                <w:sz w:val="18"/>
                <w:szCs w:val="18"/>
              </w:rPr>
            </w:pPr>
            <w:proofErr w:type="spellStart"/>
            <w:r w:rsidRPr="00E95D15">
              <w:rPr>
                <w:sz w:val="18"/>
                <w:szCs w:val="18"/>
              </w:rPr>
              <w:t>ObstetrixTas</w:t>
            </w:r>
            <w:proofErr w:type="spellEnd"/>
            <w:r w:rsidRPr="00E95D15">
              <w:rPr>
                <w:sz w:val="18"/>
                <w:szCs w:val="18"/>
              </w:rPr>
              <w:t xml:space="preserve"> is the computerised information system used in Tasmania that also contains </w:t>
            </w:r>
            <w:proofErr w:type="gramStart"/>
            <w:r w:rsidRPr="00E95D15">
              <w:rPr>
                <w:sz w:val="18"/>
                <w:szCs w:val="18"/>
              </w:rPr>
              <w:t>a number of</w:t>
            </w:r>
            <w:proofErr w:type="gramEnd"/>
            <w:r w:rsidRPr="00E95D15">
              <w:rPr>
                <w:sz w:val="18"/>
                <w:szCs w:val="18"/>
              </w:rPr>
              <w:t xml:space="preserve"> domestic violence related questions</w:t>
            </w:r>
          </w:p>
        </w:tc>
        <w:tc>
          <w:tcPr>
            <w:tcW w:w="1809" w:type="dxa"/>
          </w:tcPr>
          <w:p w14:paraId="25DA13AA" w14:textId="773845D8" w:rsidR="00A62D14" w:rsidRPr="00E95D15" w:rsidRDefault="00A62D14" w:rsidP="00D0581F">
            <w:pPr>
              <w:rPr>
                <w:sz w:val="18"/>
                <w:szCs w:val="18"/>
              </w:rPr>
            </w:pPr>
            <w:r w:rsidRPr="00E95D15">
              <w:rPr>
                <w:sz w:val="18"/>
                <w:szCs w:val="18"/>
              </w:rPr>
              <w:t>To screen for domestic and reproductive coercion as part of antenatal consultations in public hospitals</w:t>
            </w:r>
          </w:p>
        </w:tc>
        <w:tc>
          <w:tcPr>
            <w:tcW w:w="1275" w:type="dxa"/>
          </w:tcPr>
          <w:p w14:paraId="3A313640" w14:textId="77777777" w:rsidR="00A62D14" w:rsidRPr="00E95D15" w:rsidRDefault="00A62D14" w:rsidP="00D0581F">
            <w:pPr>
              <w:rPr>
                <w:sz w:val="18"/>
                <w:szCs w:val="18"/>
              </w:rPr>
            </w:pPr>
            <w:r w:rsidRPr="00E95D15">
              <w:rPr>
                <w:sz w:val="18"/>
                <w:szCs w:val="18"/>
              </w:rPr>
              <w:t>No</w:t>
            </w:r>
          </w:p>
        </w:tc>
        <w:tc>
          <w:tcPr>
            <w:tcW w:w="1243" w:type="dxa"/>
          </w:tcPr>
          <w:p w14:paraId="0CFB18C2" w14:textId="77777777" w:rsidR="00A62D14" w:rsidRPr="00E95D15" w:rsidRDefault="00A62D14" w:rsidP="00D0581F">
            <w:pPr>
              <w:rPr>
                <w:sz w:val="18"/>
                <w:szCs w:val="18"/>
              </w:rPr>
            </w:pPr>
            <w:r w:rsidRPr="00E95D15">
              <w:rPr>
                <w:sz w:val="18"/>
                <w:szCs w:val="18"/>
              </w:rPr>
              <w:t>TAS</w:t>
            </w:r>
          </w:p>
        </w:tc>
        <w:tc>
          <w:tcPr>
            <w:tcW w:w="2443" w:type="dxa"/>
          </w:tcPr>
          <w:p w14:paraId="17F18659" w14:textId="77777777" w:rsidR="00A62D14" w:rsidRPr="00E95D15" w:rsidRDefault="00AC7E4D" w:rsidP="00D0581F">
            <w:pPr>
              <w:rPr>
                <w:color w:val="00B0F0"/>
                <w:sz w:val="18"/>
                <w:szCs w:val="18"/>
              </w:rPr>
            </w:pPr>
            <w:hyperlink r:id="rId29" w:history="1">
              <w:r w:rsidR="00A62D14" w:rsidRPr="00E95D15">
                <w:rPr>
                  <w:rStyle w:val="Hyperlink"/>
                  <w:color w:val="00B0F0"/>
                  <w:sz w:val="18"/>
                  <w:szCs w:val="18"/>
                </w:rPr>
                <w:t>http://www.dpac.tas.gov.au/__data/assets/pdf_file/0007/404566/180572_DPAC_Responding_and_Reporting_Document_2018_wcag.pdf</w:t>
              </w:r>
            </w:hyperlink>
          </w:p>
          <w:p w14:paraId="27BBBCD4" w14:textId="77777777" w:rsidR="00A62D14" w:rsidRPr="00E95D15" w:rsidRDefault="00A62D14" w:rsidP="00D0581F">
            <w:pPr>
              <w:rPr>
                <w:color w:val="00B0F0"/>
                <w:sz w:val="18"/>
                <w:szCs w:val="18"/>
              </w:rPr>
            </w:pPr>
          </w:p>
        </w:tc>
      </w:tr>
      <w:tr w:rsidR="00A62D14" w:rsidRPr="00E95D15" w14:paraId="4495809A" w14:textId="77777777" w:rsidTr="00FF73E8">
        <w:trPr>
          <w:trHeight w:val="1196"/>
        </w:trPr>
        <w:tc>
          <w:tcPr>
            <w:tcW w:w="1985" w:type="dxa"/>
          </w:tcPr>
          <w:p w14:paraId="29CA6814" w14:textId="77777777" w:rsidR="00A62D14" w:rsidRPr="00E95D15" w:rsidRDefault="00A62D14" w:rsidP="00D0581F">
            <w:pPr>
              <w:rPr>
                <w:sz w:val="18"/>
                <w:szCs w:val="18"/>
              </w:rPr>
            </w:pPr>
            <w:r w:rsidRPr="00E95D15">
              <w:rPr>
                <w:sz w:val="18"/>
                <w:szCs w:val="18"/>
              </w:rPr>
              <w:t>MBS Item no. 16522</w:t>
            </w:r>
          </w:p>
        </w:tc>
        <w:tc>
          <w:tcPr>
            <w:tcW w:w="2019" w:type="dxa"/>
          </w:tcPr>
          <w:p w14:paraId="5507883A" w14:textId="77777777" w:rsidR="00A62D14" w:rsidRPr="00E95D15" w:rsidRDefault="00A62D14" w:rsidP="00D0581F">
            <w:pPr>
              <w:rPr>
                <w:sz w:val="18"/>
                <w:szCs w:val="18"/>
              </w:rPr>
            </w:pPr>
            <w:r w:rsidRPr="00E95D15">
              <w:rPr>
                <w:sz w:val="18"/>
                <w:szCs w:val="18"/>
              </w:rPr>
              <w:t>New MBS item number that, among other things, provides for complex consultation where domestic is disclosed</w:t>
            </w:r>
          </w:p>
        </w:tc>
        <w:tc>
          <w:tcPr>
            <w:tcW w:w="1809" w:type="dxa"/>
          </w:tcPr>
          <w:p w14:paraId="1D02056B" w14:textId="77777777" w:rsidR="00A62D14" w:rsidRPr="00E95D15" w:rsidRDefault="00A62D14" w:rsidP="00D0581F">
            <w:pPr>
              <w:rPr>
                <w:sz w:val="18"/>
                <w:szCs w:val="18"/>
              </w:rPr>
            </w:pPr>
            <w:r w:rsidRPr="00E95D15">
              <w:rPr>
                <w:sz w:val="18"/>
                <w:szCs w:val="18"/>
              </w:rPr>
              <w:t>Provides MBS provisions for complex consultation to assist with domestic violence screening</w:t>
            </w:r>
          </w:p>
        </w:tc>
        <w:tc>
          <w:tcPr>
            <w:tcW w:w="1275" w:type="dxa"/>
          </w:tcPr>
          <w:p w14:paraId="7196A65F" w14:textId="77777777" w:rsidR="00A62D14" w:rsidRPr="00E95D15" w:rsidRDefault="00A62D14" w:rsidP="00D0581F">
            <w:pPr>
              <w:rPr>
                <w:sz w:val="18"/>
                <w:szCs w:val="18"/>
              </w:rPr>
            </w:pPr>
            <w:r w:rsidRPr="00E95D15">
              <w:rPr>
                <w:sz w:val="18"/>
                <w:szCs w:val="18"/>
              </w:rPr>
              <w:t>No</w:t>
            </w:r>
          </w:p>
        </w:tc>
        <w:tc>
          <w:tcPr>
            <w:tcW w:w="1243" w:type="dxa"/>
          </w:tcPr>
          <w:p w14:paraId="3B7975CF" w14:textId="77777777" w:rsidR="00A62D14" w:rsidRPr="00E95D15" w:rsidRDefault="00A62D14" w:rsidP="00D0581F">
            <w:pPr>
              <w:rPr>
                <w:sz w:val="18"/>
                <w:szCs w:val="18"/>
              </w:rPr>
            </w:pPr>
            <w:r w:rsidRPr="00E95D15">
              <w:rPr>
                <w:sz w:val="18"/>
                <w:szCs w:val="18"/>
              </w:rPr>
              <w:t>National</w:t>
            </w:r>
          </w:p>
        </w:tc>
        <w:tc>
          <w:tcPr>
            <w:tcW w:w="2443" w:type="dxa"/>
          </w:tcPr>
          <w:p w14:paraId="3DA9643C" w14:textId="77777777" w:rsidR="00A62D14" w:rsidRPr="00E95D15" w:rsidRDefault="00AC7E4D" w:rsidP="00D0581F">
            <w:pPr>
              <w:rPr>
                <w:color w:val="00B0F0"/>
                <w:sz w:val="18"/>
                <w:szCs w:val="18"/>
              </w:rPr>
            </w:pPr>
            <w:hyperlink r:id="rId30" w:history="1">
              <w:r w:rsidR="00A62D14" w:rsidRPr="00E95D15">
                <w:rPr>
                  <w:rStyle w:val="Hyperlink"/>
                  <w:color w:val="00B0F0"/>
                  <w:sz w:val="18"/>
                  <w:szCs w:val="18"/>
                </w:rPr>
                <w:t>http://www.mbsonline.gov.au/internet/mbsonline/publishing.nsf/Content/Factsheet-ObstetricsServices</w:t>
              </w:r>
            </w:hyperlink>
          </w:p>
          <w:p w14:paraId="26772A10" w14:textId="77777777" w:rsidR="00A62D14" w:rsidRPr="00E95D15" w:rsidRDefault="00A62D14" w:rsidP="00D0581F">
            <w:pPr>
              <w:rPr>
                <w:color w:val="00B0F0"/>
                <w:sz w:val="18"/>
                <w:szCs w:val="18"/>
              </w:rPr>
            </w:pPr>
          </w:p>
        </w:tc>
      </w:tr>
      <w:tr w:rsidR="00A62D14" w:rsidRPr="00E95D15" w14:paraId="03214E14" w14:textId="77777777" w:rsidTr="00FF73E8">
        <w:trPr>
          <w:trHeight w:val="1565"/>
        </w:trPr>
        <w:tc>
          <w:tcPr>
            <w:tcW w:w="1985" w:type="dxa"/>
          </w:tcPr>
          <w:p w14:paraId="36737727" w14:textId="7C20AD52" w:rsidR="00A62D14" w:rsidRPr="00E95D15" w:rsidRDefault="00A62D14" w:rsidP="00D0581F">
            <w:pPr>
              <w:rPr>
                <w:sz w:val="18"/>
                <w:szCs w:val="18"/>
              </w:rPr>
            </w:pPr>
            <w:r w:rsidRPr="00E95D15">
              <w:rPr>
                <w:sz w:val="18"/>
                <w:szCs w:val="18"/>
              </w:rPr>
              <w:t xml:space="preserve">Abuse &amp; Violence: Working with our patients in general practice (White Book) </w:t>
            </w:r>
          </w:p>
        </w:tc>
        <w:tc>
          <w:tcPr>
            <w:tcW w:w="2019" w:type="dxa"/>
          </w:tcPr>
          <w:p w14:paraId="06AED988" w14:textId="5D17B654" w:rsidR="00A62D14" w:rsidRPr="00E95D15" w:rsidRDefault="00A62D14" w:rsidP="00D0581F">
            <w:pPr>
              <w:rPr>
                <w:sz w:val="18"/>
                <w:szCs w:val="18"/>
              </w:rPr>
            </w:pPr>
            <w:r w:rsidRPr="00E95D15">
              <w:rPr>
                <w:sz w:val="18"/>
                <w:szCs w:val="18"/>
              </w:rPr>
              <w:t>Clinical guidelines developed by the Royal Australian College of General Practitioners (RACGP) to assist GPs with identifying and responding to all forms of reproductive coercion</w:t>
            </w:r>
          </w:p>
        </w:tc>
        <w:tc>
          <w:tcPr>
            <w:tcW w:w="1809" w:type="dxa"/>
          </w:tcPr>
          <w:p w14:paraId="7CDBD905" w14:textId="77777777" w:rsidR="00A62D14" w:rsidRPr="00E95D15" w:rsidRDefault="00A62D14" w:rsidP="00D0581F">
            <w:pPr>
              <w:rPr>
                <w:sz w:val="18"/>
                <w:szCs w:val="18"/>
              </w:rPr>
            </w:pPr>
            <w:r w:rsidRPr="00E95D15">
              <w:rPr>
                <w:sz w:val="18"/>
                <w:szCs w:val="18"/>
              </w:rPr>
              <w:t>Clinical guidelines to assist GPs to identify and respond to abuse and violence experienced by patients</w:t>
            </w:r>
          </w:p>
        </w:tc>
        <w:tc>
          <w:tcPr>
            <w:tcW w:w="1275" w:type="dxa"/>
          </w:tcPr>
          <w:p w14:paraId="192191E0" w14:textId="77777777" w:rsidR="00A62D14" w:rsidRPr="00E95D15" w:rsidRDefault="00A62D14" w:rsidP="00D0581F">
            <w:pPr>
              <w:rPr>
                <w:sz w:val="18"/>
                <w:szCs w:val="18"/>
              </w:rPr>
            </w:pPr>
            <w:r w:rsidRPr="00E95D15">
              <w:rPr>
                <w:sz w:val="18"/>
                <w:szCs w:val="18"/>
              </w:rPr>
              <w:t>No</w:t>
            </w:r>
          </w:p>
        </w:tc>
        <w:tc>
          <w:tcPr>
            <w:tcW w:w="1243" w:type="dxa"/>
          </w:tcPr>
          <w:p w14:paraId="37E5F7FF" w14:textId="77777777" w:rsidR="00A62D14" w:rsidRPr="00E95D15" w:rsidRDefault="00A62D14" w:rsidP="00D0581F">
            <w:pPr>
              <w:rPr>
                <w:sz w:val="18"/>
                <w:szCs w:val="18"/>
              </w:rPr>
            </w:pPr>
            <w:r w:rsidRPr="00E95D15">
              <w:rPr>
                <w:sz w:val="18"/>
                <w:szCs w:val="18"/>
              </w:rPr>
              <w:t>National</w:t>
            </w:r>
          </w:p>
        </w:tc>
        <w:tc>
          <w:tcPr>
            <w:tcW w:w="2443" w:type="dxa"/>
          </w:tcPr>
          <w:p w14:paraId="0C67BF44" w14:textId="77777777" w:rsidR="00A62D14" w:rsidRPr="00E95D15" w:rsidRDefault="00A62D14" w:rsidP="00D0581F">
            <w:pPr>
              <w:rPr>
                <w:color w:val="00B0F0"/>
                <w:sz w:val="18"/>
                <w:szCs w:val="18"/>
              </w:rPr>
            </w:pPr>
            <w:r w:rsidRPr="00E95D15">
              <w:rPr>
                <w:color w:val="00B0F0"/>
                <w:sz w:val="18"/>
                <w:szCs w:val="18"/>
              </w:rPr>
              <w:t>https://www.racgp.org.au/your-practice/guidelines/whitebook/</w:t>
            </w:r>
          </w:p>
        </w:tc>
      </w:tr>
      <w:tr w:rsidR="00A62D14" w:rsidRPr="00E95D15" w14:paraId="65AB0166" w14:textId="77777777" w:rsidTr="00FF73E8">
        <w:trPr>
          <w:trHeight w:val="2527"/>
        </w:trPr>
        <w:tc>
          <w:tcPr>
            <w:tcW w:w="1985" w:type="dxa"/>
          </w:tcPr>
          <w:p w14:paraId="2FBCF57C" w14:textId="77777777" w:rsidR="00A62D14" w:rsidRPr="00E95D15" w:rsidRDefault="00A62D14" w:rsidP="00D0581F">
            <w:pPr>
              <w:rPr>
                <w:sz w:val="18"/>
                <w:szCs w:val="18"/>
              </w:rPr>
            </w:pPr>
            <w:r w:rsidRPr="00E95D15">
              <w:rPr>
                <w:sz w:val="18"/>
                <w:szCs w:val="18"/>
              </w:rPr>
              <w:t>Supporting Patients Experiencing Family Violence, A Resource for Medical Practitioners</w:t>
            </w:r>
          </w:p>
        </w:tc>
        <w:tc>
          <w:tcPr>
            <w:tcW w:w="2019" w:type="dxa"/>
          </w:tcPr>
          <w:p w14:paraId="7F2273EE" w14:textId="71BA9F5C" w:rsidR="00A62D14" w:rsidRPr="00E95D15" w:rsidRDefault="00A62D14" w:rsidP="00D0581F">
            <w:pPr>
              <w:rPr>
                <w:sz w:val="18"/>
                <w:szCs w:val="18"/>
              </w:rPr>
            </w:pPr>
            <w:r w:rsidRPr="00E95D15">
              <w:rPr>
                <w:sz w:val="18"/>
                <w:szCs w:val="18"/>
              </w:rPr>
              <w:t xml:space="preserve">A resource for Medical Practitioners produced by the Australian Medical Association (AMA) and the Law Council of Australia that outlines how to identify and respond to reproductive coercion experienced by patients. Includes mandatory reporting requirements across Australia </w:t>
            </w:r>
          </w:p>
        </w:tc>
        <w:tc>
          <w:tcPr>
            <w:tcW w:w="1809" w:type="dxa"/>
          </w:tcPr>
          <w:p w14:paraId="67C67927" w14:textId="1F808D60" w:rsidR="00A62D14" w:rsidRPr="00E95D15" w:rsidRDefault="00A62D14" w:rsidP="00D0581F">
            <w:pPr>
              <w:rPr>
                <w:sz w:val="18"/>
                <w:szCs w:val="18"/>
              </w:rPr>
            </w:pPr>
            <w:r w:rsidRPr="00E95D15">
              <w:rPr>
                <w:sz w:val="18"/>
                <w:szCs w:val="18"/>
              </w:rPr>
              <w:t>Provides information to assist with identifying reproductive coercion and suggested referral services</w:t>
            </w:r>
          </w:p>
        </w:tc>
        <w:tc>
          <w:tcPr>
            <w:tcW w:w="1275" w:type="dxa"/>
          </w:tcPr>
          <w:p w14:paraId="4422CB92" w14:textId="77777777" w:rsidR="00A62D14" w:rsidRPr="00E95D15" w:rsidRDefault="00A62D14" w:rsidP="00D0581F">
            <w:pPr>
              <w:rPr>
                <w:sz w:val="18"/>
                <w:szCs w:val="18"/>
              </w:rPr>
            </w:pPr>
            <w:r w:rsidRPr="00E95D15">
              <w:rPr>
                <w:sz w:val="18"/>
                <w:szCs w:val="18"/>
              </w:rPr>
              <w:t>No</w:t>
            </w:r>
          </w:p>
        </w:tc>
        <w:tc>
          <w:tcPr>
            <w:tcW w:w="1243" w:type="dxa"/>
          </w:tcPr>
          <w:p w14:paraId="05E88A4B" w14:textId="77777777" w:rsidR="00A62D14" w:rsidRPr="00E95D15" w:rsidRDefault="00A62D14" w:rsidP="00D0581F">
            <w:pPr>
              <w:rPr>
                <w:sz w:val="18"/>
                <w:szCs w:val="18"/>
              </w:rPr>
            </w:pPr>
            <w:r w:rsidRPr="00E95D15">
              <w:rPr>
                <w:sz w:val="18"/>
                <w:szCs w:val="18"/>
              </w:rPr>
              <w:t>National</w:t>
            </w:r>
          </w:p>
        </w:tc>
        <w:tc>
          <w:tcPr>
            <w:tcW w:w="2443" w:type="dxa"/>
          </w:tcPr>
          <w:p w14:paraId="450E0216" w14:textId="77777777" w:rsidR="00A62D14" w:rsidRPr="00E95D15" w:rsidRDefault="00AC7E4D" w:rsidP="00D0581F">
            <w:pPr>
              <w:rPr>
                <w:color w:val="00B0F0"/>
                <w:sz w:val="18"/>
                <w:szCs w:val="18"/>
              </w:rPr>
            </w:pPr>
            <w:hyperlink r:id="rId31" w:history="1">
              <w:r w:rsidR="00A62D14" w:rsidRPr="00E95D15">
                <w:rPr>
                  <w:rStyle w:val="Hyperlink"/>
                  <w:color w:val="00B0F0"/>
                  <w:sz w:val="18"/>
                  <w:szCs w:val="18"/>
                </w:rPr>
                <w:t>https://ama.com.au/article/ama-family-violence-resource</w:t>
              </w:r>
            </w:hyperlink>
          </w:p>
          <w:p w14:paraId="4572F197" w14:textId="77777777" w:rsidR="00A62D14" w:rsidRPr="00E95D15" w:rsidRDefault="00A62D14" w:rsidP="00D0581F">
            <w:pPr>
              <w:rPr>
                <w:sz w:val="18"/>
                <w:szCs w:val="18"/>
              </w:rPr>
            </w:pPr>
          </w:p>
        </w:tc>
      </w:tr>
      <w:tr w:rsidR="00E95D15" w:rsidRPr="00E95D15" w14:paraId="2658F13F" w14:textId="77777777" w:rsidTr="00FF73E8">
        <w:trPr>
          <w:trHeight w:val="357"/>
        </w:trPr>
        <w:tc>
          <w:tcPr>
            <w:tcW w:w="1985" w:type="dxa"/>
          </w:tcPr>
          <w:p w14:paraId="2BA515FE" w14:textId="0CE2FE12" w:rsidR="00E95D15" w:rsidRPr="00E95D15" w:rsidRDefault="005C0FDD" w:rsidP="00D0581F">
            <w:pPr>
              <w:rPr>
                <w:sz w:val="18"/>
                <w:szCs w:val="18"/>
              </w:rPr>
            </w:pPr>
            <w:r>
              <w:rPr>
                <w:sz w:val="18"/>
                <w:szCs w:val="18"/>
              </w:rPr>
              <w:lastRenderedPageBreak/>
              <w:t xml:space="preserve">Health practitioner resource hub for unintended pregnancy and abortion - reproductive coercion </w:t>
            </w:r>
          </w:p>
        </w:tc>
        <w:tc>
          <w:tcPr>
            <w:tcW w:w="2019" w:type="dxa"/>
          </w:tcPr>
          <w:p w14:paraId="77498650" w14:textId="705FDFAD" w:rsidR="00E95D15" w:rsidRPr="00E95D15" w:rsidRDefault="005C0FDD" w:rsidP="00D0581F">
            <w:pPr>
              <w:rPr>
                <w:sz w:val="18"/>
                <w:szCs w:val="18"/>
              </w:rPr>
            </w:pPr>
            <w:r>
              <w:rPr>
                <w:sz w:val="18"/>
                <w:szCs w:val="18"/>
              </w:rPr>
              <w:t>A page of resources collated by the University of Melbourne Centre for Excellence in Rural Health (CERSH)</w:t>
            </w:r>
          </w:p>
        </w:tc>
        <w:tc>
          <w:tcPr>
            <w:tcW w:w="1809" w:type="dxa"/>
          </w:tcPr>
          <w:p w14:paraId="5AB2B17C" w14:textId="4C5F7C72" w:rsidR="00E95D15" w:rsidRPr="00BE4A29" w:rsidRDefault="005C0FDD" w:rsidP="00D0581F">
            <w:pPr>
              <w:rPr>
                <w:sz w:val="20"/>
                <w:szCs w:val="20"/>
              </w:rPr>
            </w:pPr>
            <w:r w:rsidRPr="00BE4A29">
              <w:rPr>
                <w:sz w:val="20"/>
                <w:szCs w:val="20"/>
              </w:rPr>
              <w:t xml:space="preserve">A series of links and resources including four webinars by Children by Choice </w:t>
            </w:r>
          </w:p>
        </w:tc>
        <w:tc>
          <w:tcPr>
            <w:tcW w:w="1275" w:type="dxa"/>
          </w:tcPr>
          <w:p w14:paraId="144FB6CB" w14:textId="1B7E1884" w:rsidR="00E95D15" w:rsidRPr="00E95D15" w:rsidRDefault="005C0FDD" w:rsidP="00D0581F">
            <w:pPr>
              <w:rPr>
                <w:sz w:val="18"/>
                <w:szCs w:val="18"/>
              </w:rPr>
            </w:pPr>
            <w:r>
              <w:rPr>
                <w:sz w:val="18"/>
                <w:szCs w:val="18"/>
              </w:rPr>
              <w:t>Yes</w:t>
            </w:r>
          </w:p>
        </w:tc>
        <w:tc>
          <w:tcPr>
            <w:tcW w:w="1243" w:type="dxa"/>
          </w:tcPr>
          <w:p w14:paraId="51244DEE" w14:textId="56FC2726" w:rsidR="00E95D15" w:rsidRPr="00E95D15" w:rsidRDefault="005C0FDD" w:rsidP="00D0581F">
            <w:pPr>
              <w:rPr>
                <w:sz w:val="18"/>
                <w:szCs w:val="18"/>
              </w:rPr>
            </w:pPr>
            <w:r>
              <w:rPr>
                <w:sz w:val="18"/>
                <w:szCs w:val="18"/>
              </w:rPr>
              <w:t>VIC</w:t>
            </w:r>
          </w:p>
        </w:tc>
        <w:tc>
          <w:tcPr>
            <w:tcW w:w="2443" w:type="dxa"/>
          </w:tcPr>
          <w:p w14:paraId="78CE8889" w14:textId="41E0D5B2" w:rsidR="00E95D15" w:rsidRPr="00E95D15" w:rsidRDefault="00AC7E4D" w:rsidP="00D0581F">
            <w:pPr>
              <w:rPr>
                <w:sz w:val="18"/>
                <w:szCs w:val="18"/>
              </w:rPr>
            </w:pPr>
            <w:hyperlink r:id="rId32" w:history="1">
              <w:r w:rsidR="005C0FDD" w:rsidRPr="009C314D">
                <w:rPr>
                  <w:rStyle w:val="Hyperlink"/>
                  <w:sz w:val="18"/>
                  <w:szCs w:val="18"/>
                </w:rPr>
                <w:t>https://www.cersh.com.au/resource-hub/training-and-support/reproductive-coercion/</w:t>
              </w:r>
            </w:hyperlink>
            <w:r w:rsidR="005C0FDD">
              <w:rPr>
                <w:sz w:val="18"/>
                <w:szCs w:val="18"/>
              </w:rPr>
              <w:t xml:space="preserve"> </w:t>
            </w:r>
          </w:p>
        </w:tc>
      </w:tr>
      <w:tr w:rsidR="005C0FDD" w:rsidRPr="00E95D15" w14:paraId="0FB79846" w14:textId="77777777" w:rsidTr="00FF73E8">
        <w:trPr>
          <w:trHeight w:val="2997"/>
        </w:trPr>
        <w:tc>
          <w:tcPr>
            <w:tcW w:w="1985" w:type="dxa"/>
          </w:tcPr>
          <w:p w14:paraId="63123ECA" w14:textId="1971E716" w:rsidR="005C0FDD" w:rsidRDefault="005C0FDD" w:rsidP="00D0581F">
            <w:pPr>
              <w:rPr>
                <w:sz w:val="18"/>
                <w:szCs w:val="18"/>
              </w:rPr>
            </w:pPr>
            <w:r>
              <w:rPr>
                <w:sz w:val="18"/>
                <w:szCs w:val="18"/>
              </w:rPr>
              <w:t>Our Site</w:t>
            </w:r>
            <w:r w:rsidR="00D44C94">
              <w:rPr>
                <w:sz w:val="18"/>
                <w:szCs w:val="18"/>
              </w:rPr>
              <w:t>- a website by and for women and girls (15+) with disability</w:t>
            </w:r>
          </w:p>
        </w:tc>
        <w:tc>
          <w:tcPr>
            <w:tcW w:w="2019" w:type="dxa"/>
          </w:tcPr>
          <w:p w14:paraId="4DFFA406" w14:textId="699C9EB7" w:rsidR="005C0FDD" w:rsidRDefault="00D44C94" w:rsidP="00D0581F">
            <w:pPr>
              <w:rPr>
                <w:sz w:val="18"/>
                <w:szCs w:val="18"/>
              </w:rPr>
            </w:pPr>
            <w:r>
              <w:rPr>
                <w:sz w:val="20"/>
                <w:szCs w:val="20"/>
              </w:rPr>
              <w:t>Information for women with disabilities, this page specifically related to healthcare rights</w:t>
            </w:r>
          </w:p>
        </w:tc>
        <w:tc>
          <w:tcPr>
            <w:tcW w:w="1809" w:type="dxa"/>
          </w:tcPr>
          <w:p w14:paraId="63444F72" w14:textId="0DDC70A5" w:rsidR="005C0FDD" w:rsidRPr="005C0FDD" w:rsidRDefault="00D44C94" w:rsidP="00D0581F">
            <w:pPr>
              <w:rPr>
                <w:sz w:val="20"/>
                <w:szCs w:val="20"/>
              </w:rPr>
            </w:pPr>
            <w:r>
              <w:rPr>
                <w:sz w:val="20"/>
                <w:szCs w:val="20"/>
              </w:rPr>
              <w:t xml:space="preserve">A useful resource which may assist with ethical decision making and informed consent processes </w:t>
            </w:r>
          </w:p>
        </w:tc>
        <w:tc>
          <w:tcPr>
            <w:tcW w:w="1275" w:type="dxa"/>
          </w:tcPr>
          <w:p w14:paraId="4EA8BD60" w14:textId="48A23F7D" w:rsidR="005C0FDD" w:rsidRDefault="005C0FDD" w:rsidP="00D0581F">
            <w:pPr>
              <w:rPr>
                <w:sz w:val="18"/>
                <w:szCs w:val="18"/>
              </w:rPr>
            </w:pPr>
            <w:r>
              <w:rPr>
                <w:sz w:val="18"/>
                <w:szCs w:val="18"/>
              </w:rPr>
              <w:t>No</w:t>
            </w:r>
          </w:p>
        </w:tc>
        <w:tc>
          <w:tcPr>
            <w:tcW w:w="1243" w:type="dxa"/>
          </w:tcPr>
          <w:p w14:paraId="3A75FA78" w14:textId="603B17A7" w:rsidR="005C0FDD" w:rsidRDefault="005C0FDD" w:rsidP="00D0581F">
            <w:pPr>
              <w:rPr>
                <w:sz w:val="18"/>
                <w:szCs w:val="18"/>
              </w:rPr>
            </w:pPr>
            <w:r>
              <w:rPr>
                <w:sz w:val="18"/>
                <w:szCs w:val="18"/>
              </w:rPr>
              <w:t>National</w:t>
            </w:r>
          </w:p>
        </w:tc>
        <w:tc>
          <w:tcPr>
            <w:tcW w:w="2443" w:type="dxa"/>
          </w:tcPr>
          <w:p w14:paraId="5B16AB54" w14:textId="231956BC" w:rsidR="005C0FDD" w:rsidRDefault="005C0FDD" w:rsidP="00D0581F">
            <w:pPr>
              <w:rPr>
                <w:sz w:val="18"/>
                <w:szCs w:val="18"/>
              </w:rPr>
            </w:pPr>
            <w:r w:rsidRPr="005C0FDD">
              <w:rPr>
                <w:sz w:val="18"/>
                <w:szCs w:val="18"/>
              </w:rPr>
              <w:t>https://oursite.wwda.org.au/life-choices/healthcare</w:t>
            </w:r>
          </w:p>
        </w:tc>
      </w:tr>
      <w:tr w:rsidR="00E95D15" w:rsidRPr="00E95D15" w14:paraId="02A8AF59" w14:textId="77777777" w:rsidTr="00FF73E8">
        <w:trPr>
          <w:trHeight w:val="2997"/>
        </w:trPr>
        <w:tc>
          <w:tcPr>
            <w:tcW w:w="1985" w:type="dxa"/>
          </w:tcPr>
          <w:p w14:paraId="181E793B" w14:textId="1CBFDBC8" w:rsidR="00E95D15" w:rsidRPr="00E95D15" w:rsidRDefault="00E95D15" w:rsidP="00D0581F">
            <w:pPr>
              <w:rPr>
                <w:sz w:val="18"/>
                <w:szCs w:val="18"/>
              </w:rPr>
            </w:pPr>
            <w:r>
              <w:rPr>
                <w:sz w:val="18"/>
                <w:szCs w:val="18"/>
              </w:rPr>
              <w:t xml:space="preserve">Addressing reproductive coercion: Access and Equity </w:t>
            </w:r>
            <w:proofErr w:type="spellStart"/>
            <w:r>
              <w:rPr>
                <w:sz w:val="18"/>
                <w:szCs w:val="18"/>
              </w:rPr>
              <w:t>lll</w:t>
            </w:r>
            <w:proofErr w:type="spellEnd"/>
          </w:p>
        </w:tc>
        <w:tc>
          <w:tcPr>
            <w:tcW w:w="2019" w:type="dxa"/>
          </w:tcPr>
          <w:p w14:paraId="641D90EB" w14:textId="2294DE99" w:rsidR="00E95D15" w:rsidRPr="00E95D15" w:rsidRDefault="00E95D15" w:rsidP="00D0581F">
            <w:pPr>
              <w:rPr>
                <w:sz w:val="18"/>
                <w:szCs w:val="18"/>
              </w:rPr>
            </w:pPr>
            <w:r>
              <w:rPr>
                <w:sz w:val="18"/>
                <w:szCs w:val="18"/>
              </w:rPr>
              <w:t>A two part webinar series developed by Women’s Health Victoria and Women’s Health in the North</w:t>
            </w:r>
          </w:p>
        </w:tc>
        <w:tc>
          <w:tcPr>
            <w:tcW w:w="1809" w:type="dxa"/>
          </w:tcPr>
          <w:p w14:paraId="5D4D61F5" w14:textId="07DD7BE9" w:rsidR="00E95D15" w:rsidRPr="00BE4A29" w:rsidRDefault="00E95D15" w:rsidP="00D0581F">
            <w:pPr>
              <w:rPr>
                <w:sz w:val="20"/>
                <w:szCs w:val="20"/>
              </w:rPr>
            </w:pPr>
            <w:r w:rsidRPr="00BE4A29">
              <w:rPr>
                <w:sz w:val="20"/>
                <w:szCs w:val="20"/>
              </w:rPr>
              <w:t>These webinars are aimed at both prevention and response service professionals working in the violence against women and sexual and reproductive health sectors in Victoria.</w:t>
            </w:r>
          </w:p>
        </w:tc>
        <w:tc>
          <w:tcPr>
            <w:tcW w:w="1275" w:type="dxa"/>
          </w:tcPr>
          <w:p w14:paraId="7CB3E4FE" w14:textId="6F11D1EC" w:rsidR="00E95D15" w:rsidRPr="00E95D15" w:rsidRDefault="00E95D15" w:rsidP="00D0581F">
            <w:pPr>
              <w:rPr>
                <w:sz w:val="18"/>
                <w:szCs w:val="18"/>
              </w:rPr>
            </w:pPr>
            <w:r>
              <w:rPr>
                <w:sz w:val="18"/>
                <w:szCs w:val="18"/>
              </w:rPr>
              <w:t>Yes</w:t>
            </w:r>
          </w:p>
        </w:tc>
        <w:tc>
          <w:tcPr>
            <w:tcW w:w="1243" w:type="dxa"/>
          </w:tcPr>
          <w:p w14:paraId="1C64E12E" w14:textId="55477D95" w:rsidR="00E95D15" w:rsidRPr="00E95D15" w:rsidRDefault="00E95D15" w:rsidP="00D0581F">
            <w:pPr>
              <w:rPr>
                <w:sz w:val="18"/>
                <w:szCs w:val="18"/>
              </w:rPr>
            </w:pPr>
            <w:r>
              <w:rPr>
                <w:sz w:val="18"/>
                <w:szCs w:val="18"/>
              </w:rPr>
              <w:t>National</w:t>
            </w:r>
          </w:p>
        </w:tc>
        <w:tc>
          <w:tcPr>
            <w:tcW w:w="2443" w:type="dxa"/>
          </w:tcPr>
          <w:p w14:paraId="0FDDDA97" w14:textId="54EA5E23" w:rsidR="00E95D15" w:rsidRDefault="00AC7E4D" w:rsidP="00D0581F">
            <w:pPr>
              <w:rPr>
                <w:sz w:val="18"/>
                <w:szCs w:val="18"/>
              </w:rPr>
            </w:pPr>
            <w:hyperlink r:id="rId33" w:history="1">
              <w:r w:rsidR="005C0FDD" w:rsidRPr="009C314D">
                <w:rPr>
                  <w:rStyle w:val="Hyperlink"/>
                  <w:sz w:val="18"/>
                  <w:szCs w:val="18"/>
                </w:rPr>
                <w:t>https://whv.org.au/resources/whv-publications/forum-proceedings-addressing-reproductive-coercion-access-and-equity-iii</w:t>
              </w:r>
            </w:hyperlink>
          </w:p>
          <w:p w14:paraId="12BB936C" w14:textId="77777777" w:rsidR="005C0FDD" w:rsidRDefault="005C0FDD" w:rsidP="00D0581F">
            <w:pPr>
              <w:rPr>
                <w:sz w:val="18"/>
                <w:szCs w:val="18"/>
              </w:rPr>
            </w:pPr>
            <w:r>
              <w:rPr>
                <w:sz w:val="18"/>
                <w:szCs w:val="18"/>
              </w:rPr>
              <w:t xml:space="preserve">or </w:t>
            </w:r>
          </w:p>
          <w:p w14:paraId="4532E95D" w14:textId="77777777" w:rsidR="005C0FDD" w:rsidRDefault="005C0FDD" w:rsidP="00D0581F">
            <w:pPr>
              <w:rPr>
                <w:sz w:val="18"/>
                <w:szCs w:val="18"/>
              </w:rPr>
            </w:pPr>
          </w:p>
          <w:p w14:paraId="651F73C1" w14:textId="5D752391" w:rsidR="005C0FDD" w:rsidRPr="00E95D15" w:rsidRDefault="00AC7E4D" w:rsidP="00D0581F">
            <w:pPr>
              <w:rPr>
                <w:sz w:val="18"/>
                <w:szCs w:val="18"/>
              </w:rPr>
            </w:pPr>
            <w:hyperlink r:id="rId34" w:history="1">
              <w:r w:rsidR="005C0FDD" w:rsidRPr="009C314D">
                <w:rPr>
                  <w:rStyle w:val="Hyperlink"/>
                  <w:sz w:val="18"/>
                  <w:szCs w:val="18"/>
                </w:rPr>
                <w:t>https://www.whin.org.au/resources/sexual-and-reproductive-health-resources/</w:t>
              </w:r>
            </w:hyperlink>
            <w:r w:rsidR="005C0FDD">
              <w:rPr>
                <w:sz w:val="18"/>
                <w:szCs w:val="18"/>
              </w:rPr>
              <w:t xml:space="preserve">  </w:t>
            </w:r>
          </w:p>
        </w:tc>
      </w:tr>
      <w:tr w:rsidR="00D44C94" w:rsidRPr="00E95D15" w14:paraId="3F96FA4F" w14:textId="77777777" w:rsidTr="00FF73E8">
        <w:trPr>
          <w:trHeight w:val="2997"/>
        </w:trPr>
        <w:tc>
          <w:tcPr>
            <w:tcW w:w="1985" w:type="dxa"/>
          </w:tcPr>
          <w:p w14:paraId="33B9534F" w14:textId="610065C2" w:rsidR="00D44C94" w:rsidRPr="00BE4A29" w:rsidRDefault="00D44C94" w:rsidP="00D0581F">
            <w:pPr>
              <w:rPr>
                <w:sz w:val="20"/>
                <w:szCs w:val="20"/>
              </w:rPr>
            </w:pPr>
            <w:r w:rsidRPr="00BE4A29">
              <w:rPr>
                <w:sz w:val="20"/>
                <w:szCs w:val="20"/>
              </w:rPr>
              <w:t>The National Safety and Quality Health Service (NSQHS) Standards.</w:t>
            </w:r>
          </w:p>
        </w:tc>
        <w:tc>
          <w:tcPr>
            <w:tcW w:w="2019" w:type="dxa"/>
          </w:tcPr>
          <w:p w14:paraId="67BDD151" w14:textId="6AF672B1" w:rsidR="00D44C94" w:rsidRPr="00BE4A29" w:rsidRDefault="00D44C94" w:rsidP="00D0581F">
            <w:pPr>
              <w:rPr>
                <w:sz w:val="20"/>
                <w:szCs w:val="20"/>
              </w:rPr>
            </w:pPr>
            <w:r w:rsidRPr="00BE4A29">
              <w:rPr>
                <w:sz w:val="20"/>
                <w:szCs w:val="20"/>
              </w:rPr>
              <w:t xml:space="preserve">Quality and safety standards assist with the prevention of reproductive coercion in clinical settings, particularly clinical governance, </w:t>
            </w:r>
            <w:r w:rsidR="00D87C1E" w:rsidRPr="00BE4A29">
              <w:rPr>
                <w:sz w:val="20"/>
                <w:szCs w:val="20"/>
              </w:rPr>
              <w:t>partnering with c</w:t>
            </w:r>
            <w:r w:rsidRPr="00BE4A29">
              <w:rPr>
                <w:sz w:val="20"/>
                <w:szCs w:val="20"/>
              </w:rPr>
              <w:t xml:space="preserve">onsumers, </w:t>
            </w:r>
            <w:r w:rsidR="00D87C1E" w:rsidRPr="00BE4A29">
              <w:rPr>
                <w:sz w:val="20"/>
                <w:szCs w:val="20"/>
              </w:rPr>
              <w:t>c</w:t>
            </w:r>
            <w:r w:rsidRPr="00BE4A29">
              <w:rPr>
                <w:sz w:val="20"/>
                <w:szCs w:val="20"/>
              </w:rPr>
              <w:t xml:space="preserve">ommunicating for safety and </w:t>
            </w:r>
            <w:r w:rsidR="00D87C1E" w:rsidRPr="00BE4A29">
              <w:rPr>
                <w:sz w:val="20"/>
                <w:szCs w:val="20"/>
              </w:rPr>
              <w:t>c</w:t>
            </w:r>
            <w:r w:rsidRPr="00BE4A29">
              <w:rPr>
                <w:sz w:val="20"/>
                <w:szCs w:val="20"/>
              </w:rPr>
              <w:t xml:space="preserve">omprehensive </w:t>
            </w:r>
            <w:r w:rsidR="00D87C1E" w:rsidRPr="00BE4A29">
              <w:rPr>
                <w:sz w:val="20"/>
                <w:szCs w:val="20"/>
              </w:rPr>
              <w:t>c</w:t>
            </w:r>
            <w:r w:rsidRPr="00BE4A29">
              <w:rPr>
                <w:sz w:val="20"/>
                <w:szCs w:val="20"/>
              </w:rPr>
              <w:t>are.</w:t>
            </w:r>
          </w:p>
        </w:tc>
        <w:tc>
          <w:tcPr>
            <w:tcW w:w="1809" w:type="dxa"/>
          </w:tcPr>
          <w:p w14:paraId="78140589" w14:textId="181D5EFB" w:rsidR="00D44C94" w:rsidRPr="00301272" w:rsidRDefault="00D44C94" w:rsidP="00D0581F">
            <w:pPr>
              <w:rPr>
                <w:sz w:val="20"/>
                <w:szCs w:val="20"/>
              </w:rPr>
            </w:pPr>
            <w:r w:rsidRPr="00BE4A29">
              <w:rPr>
                <w:sz w:val="20"/>
                <w:szCs w:val="20"/>
              </w:rPr>
              <w:t>The Australian Commission on Safety and Quality in Health Care (the Commission) has developed resources to assist health service organisations align their patient safety and quality improvement programs.</w:t>
            </w:r>
          </w:p>
        </w:tc>
        <w:tc>
          <w:tcPr>
            <w:tcW w:w="1275" w:type="dxa"/>
          </w:tcPr>
          <w:p w14:paraId="3325554D" w14:textId="27CA1E60" w:rsidR="00D44C94" w:rsidRPr="00BE4A29" w:rsidRDefault="00D44C94" w:rsidP="00D0581F">
            <w:pPr>
              <w:rPr>
                <w:sz w:val="20"/>
                <w:szCs w:val="20"/>
              </w:rPr>
            </w:pPr>
            <w:r w:rsidRPr="00BE4A29">
              <w:rPr>
                <w:sz w:val="20"/>
                <w:szCs w:val="20"/>
              </w:rPr>
              <w:t xml:space="preserve">No </w:t>
            </w:r>
          </w:p>
        </w:tc>
        <w:tc>
          <w:tcPr>
            <w:tcW w:w="1243" w:type="dxa"/>
          </w:tcPr>
          <w:p w14:paraId="3A46409E" w14:textId="32B8F991" w:rsidR="00D44C94" w:rsidRPr="00BE4A29" w:rsidRDefault="00D44C94" w:rsidP="00D0581F">
            <w:pPr>
              <w:rPr>
                <w:sz w:val="20"/>
                <w:szCs w:val="20"/>
              </w:rPr>
            </w:pPr>
            <w:r w:rsidRPr="00BE4A29">
              <w:rPr>
                <w:sz w:val="20"/>
                <w:szCs w:val="20"/>
              </w:rPr>
              <w:t>National</w:t>
            </w:r>
          </w:p>
        </w:tc>
        <w:tc>
          <w:tcPr>
            <w:tcW w:w="2443" w:type="dxa"/>
          </w:tcPr>
          <w:p w14:paraId="3429B87A" w14:textId="64B65A43" w:rsidR="00D44C94" w:rsidRPr="00BE4A29" w:rsidRDefault="00AC7E4D" w:rsidP="00D0581F">
            <w:pPr>
              <w:rPr>
                <w:sz w:val="20"/>
                <w:szCs w:val="20"/>
              </w:rPr>
            </w:pPr>
            <w:hyperlink r:id="rId35" w:history="1">
              <w:r w:rsidR="00FF1BCC" w:rsidRPr="002A0521">
                <w:rPr>
                  <w:rStyle w:val="Hyperlink"/>
                  <w:sz w:val="20"/>
                  <w:szCs w:val="20"/>
                </w:rPr>
                <w:t>https://www.safetyandquality.gov.au/standards/nsqhs-standards</w:t>
              </w:r>
            </w:hyperlink>
            <w:r w:rsidR="00FF1BCC">
              <w:rPr>
                <w:sz w:val="20"/>
                <w:szCs w:val="20"/>
              </w:rPr>
              <w:t xml:space="preserve"> </w:t>
            </w:r>
          </w:p>
        </w:tc>
      </w:tr>
    </w:tbl>
    <w:p w14:paraId="766AEB7B" w14:textId="2AB375EB" w:rsidR="00A62D14" w:rsidRDefault="00A62D14" w:rsidP="00D0581F">
      <w:pPr>
        <w:pStyle w:val="ListParagraph"/>
        <w:spacing w:before="120" w:after="0"/>
        <w:contextualSpacing w:val="0"/>
        <w:rPr>
          <w:rFonts w:cs="Arial"/>
        </w:rPr>
      </w:pPr>
    </w:p>
    <w:p w14:paraId="41BF85FF" w14:textId="147597D2" w:rsidR="00090DEB" w:rsidRDefault="00090DEB" w:rsidP="00D0581F">
      <w:pPr>
        <w:pStyle w:val="ListParagraph"/>
        <w:spacing w:before="120" w:after="0"/>
        <w:contextualSpacing w:val="0"/>
        <w:rPr>
          <w:rFonts w:cs="Arial"/>
        </w:rPr>
      </w:pPr>
    </w:p>
    <w:p w14:paraId="7E4E03C4" w14:textId="11F3640D" w:rsidR="00090DEB" w:rsidRDefault="00090DEB" w:rsidP="00D0581F">
      <w:pPr>
        <w:pStyle w:val="ListParagraph"/>
        <w:spacing w:before="120" w:after="0"/>
        <w:contextualSpacing w:val="0"/>
        <w:rPr>
          <w:rFonts w:cs="Arial"/>
        </w:rPr>
      </w:pPr>
    </w:p>
    <w:p w14:paraId="2C313BD8" w14:textId="77777777" w:rsidR="00BD40C2" w:rsidRDefault="00BD40C2" w:rsidP="00D0581F">
      <w:pPr>
        <w:spacing w:after="160"/>
        <w:rPr>
          <w:rFonts w:eastAsiaTheme="majorEastAsia" w:cstheme="majorBidi"/>
          <w:b/>
          <w:sz w:val="32"/>
          <w:szCs w:val="32"/>
        </w:rPr>
      </w:pPr>
      <w:r>
        <w:br w:type="page"/>
      </w:r>
    </w:p>
    <w:p w14:paraId="4152054A" w14:textId="480613C5" w:rsidR="00090DEB" w:rsidRDefault="00090DEB" w:rsidP="00D0581F">
      <w:pPr>
        <w:pStyle w:val="Heading1"/>
        <w:spacing w:line="276" w:lineRule="auto"/>
      </w:pPr>
      <w:bookmarkStart w:id="147" w:name="_Toc57368616"/>
      <w:r>
        <w:lastRenderedPageBreak/>
        <w:t>Endnotes</w:t>
      </w:r>
      <w:bookmarkEnd w:id="147"/>
    </w:p>
    <w:p w14:paraId="7FB2D0B8" w14:textId="4A68ACE8" w:rsidR="00A62D14" w:rsidRDefault="00A62D14" w:rsidP="00D0581F">
      <w:pPr>
        <w:pStyle w:val="ListParagraph"/>
        <w:spacing w:before="120" w:after="0"/>
        <w:contextualSpacing w:val="0"/>
        <w:rPr>
          <w:rFonts w:cs="Arial"/>
        </w:rPr>
        <w:sectPr w:rsidR="00A62D14" w:rsidSect="00B86D59">
          <w:footerReference w:type="default" r:id="rId36"/>
          <w:endnotePr>
            <w:numFmt w:val="decimal"/>
          </w:endnotePr>
          <w:type w:val="continuous"/>
          <w:pgSz w:w="11906" w:h="16838"/>
          <w:pgMar w:top="1276" w:right="1418" w:bottom="1134" w:left="1418" w:header="709" w:footer="709" w:gutter="0"/>
          <w:cols w:space="708"/>
          <w:titlePg/>
          <w:docGrid w:linePitch="360"/>
        </w:sectPr>
      </w:pPr>
    </w:p>
    <w:p w14:paraId="490C0964" w14:textId="224DE5E8" w:rsidR="00D624D9" w:rsidRDefault="00D624D9" w:rsidP="00D0581F">
      <w:pPr>
        <w:rPr>
          <w:rFonts w:eastAsiaTheme="majorEastAsia" w:cstheme="majorBidi"/>
          <w:b/>
          <w:color w:val="FFFFFF" w:themeColor="background1"/>
          <w:sz w:val="32"/>
          <w:szCs w:val="32"/>
        </w:rPr>
      </w:pPr>
      <w:bookmarkStart w:id="148" w:name="_heading=h.30j0zll"/>
      <w:bookmarkEnd w:id="144"/>
      <w:bookmarkEnd w:id="148"/>
      <w:r>
        <w:rPr>
          <w:rFonts w:cs="Arial"/>
          <w:noProof/>
          <w:sz w:val="20"/>
          <w:lang w:eastAsia="en-AU"/>
        </w:rPr>
        <w:lastRenderedPageBreak/>
        <w:drawing>
          <wp:inline distT="0" distB="0" distL="0" distR="0" wp14:anchorId="7E7A4C59" wp14:editId="55B0309A">
            <wp:extent cx="5759450" cy="1534795"/>
            <wp:effectExtent l="0" t="0" r="0" b="825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59450" cy="1534795"/>
                    </a:xfrm>
                    <a:prstGeom prst="rect">
                      <a:avLst/>
                    </a:prstGeom>
                  </pic:spPr>
                </pic:pic>
              </a:graphicData>
            </a:graphic>
          </wp:inline>
        </w:drawing>
      </w:r>
      <w:r w:rsidR="00FA2140">
        <w:rPr>
          <w:rFonts w:cs="Arial"/>
          <w:noProof/>
          <w:sz w:val="20"/>
          <w:lang w:eastAsia="en-AU"/>
        </w:rPr>
        <mc:AlternateContent>
          <mc:Choice Requires="wpg">
            <w:drawing>
              <wp:anchor distT="0" distB="0" distL="114300" distR="114300" simplePos="0" relativeHeight="251674624" behindDoc="0" locked="0" layoutInCell="1" allowOverlap="1" wp14:anchorId="2FDC10B4" wp14:editId="594D0AED">
                <wp:simplePos x="0" y="0"/>
                <wp:positionH relativeFrom="column">
                  <wp:posOffset>-909955</wp:posOffset>
                </wp:positionH>
                <wp:positionV relativeFrom="paragraph">
                  <wp:posOffset>-1402080</wp:posOffset>
                </wp:positionV>
                <wp:extent cx="7560310" cy="7974957"/>
                <wp:effectExtent l="0" t="0" r="2540" b="7620"/>
                <wp:wrapNone/>
                <wp:docPr id="10" name="Group 10"/>
                <wp:cNvGraphicFramePr/>
                <a:graphic xmlns:a="http://schemas.openxmlformats.org/drawingml/2006/main">
                  <a:graphicData uri="http://schemas.microsoft.com/office/word/2010/wordprocessingGroup">
                    <wpg:wgp>
                      <wpg:cNvGrpSpPr/>
                      <wpg:grpSpPr>
                        <a:xfrm>
                          <a:off x="0" y="0"/>
                          <a:ext cx="7560310" cy="7974957"/>
                          <a:chOff x="0" y="0"/>
                          <a:chExt cx="7560310" cy="7974957"/>
                        </a:xfrm>
                      </wpg:grpSpPr>
                      <wps:wsp>
                        <wps:cNvPr id="13" name="Rectangle 13"/>
                        <wps:cNvSpPr/>
                        <wps:spPr>
                          <a:xfrm>
                            <a:off x="0" y="0"/>
                            <a:ext cx="7560310" cy="7974957"/>
                          </a:xfrm>
                          <a:prstGeom prst="rect">
                            <a:avLst/>
                          </a:prstGeom>
                          <a:solidFill>
                            <a:srgbClr val="9BAF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42900" y="371475"/>
                            <a:ext cx="5822066" cy="5911913"/>
                          </a:xfrm>
                          <a:prstGeom prst="rect">
                            <a:avLst/>
                          </a:prstGeom>
                          <a:noFill/>
                          <a:ln w="6350">
                            <a:noFill/>
                          </a:ln>
                        </wps:spPr>
                        <wps:txbx>
                          <w:txbxContent>
                            <w:p w14:paraId="3EB91EB9" w14:textId="77777777" w:rsidR="00D76477" w:rsidRPr="003629DD" w:rsidRDefault="00D76477" w:rsidP="00066B95">
                              <w:pPr>
                                <w:pStyle w:val="Heading1"/>
                                <w:rPr>
                                  <w:color w:val="FFFFFF" w:themeColor="background1"/>
                                </w:rPr>
                              </w:pPr>
                              <w:bookmarkStart w:id="149" w:name="_Toc57368617"/>
                              <w:r w:rsidRPr="003629DD">
                                <w:rPr>
                                  <w:color w:val="FFFFFF" w:themeColor="background1"/>
                                </w:rPr>
                                <w:t>Further information and feedback</w:t>
                              </w:r>
                              <w:bookmarkEnd w:id="149"/>
                            </w:p>
                            <w:p w14:paraId="5EDC668A" w14:textId="77777777" w:rsidR="00D76477" w:rsidRPr="003629DD" w:rsidRDefault="00D76477" w:rsidP="00066B95">
                              <w:pPr>
                                <w:rPr>
                                  <w:color w:val="FFFFFF" w:themeColor="background1"/>
                                </w:rPr>
                              </w:pPr>
                              <w:r w:rsidRPr="003629DD">
                                <w:rPr>
                                  <w:color w:val="FFFFFF" w:themeColor="background1"/>
                                </w:rPr>
                                <w:t>If you would like to know more about the work that we do at Marie Stopes Australia, you can follow us on social media or get in touch via the following channels.</w:t>
                              </w:r>
                            </w:p>
                            <w:p w14:paraId="485692F9" w14:textId="77777777" w:rsidR="00D76477" w:rsidRDefault="00D76477" w:rsidP="00066B95">
                              <w:pPr>
                                <w:pStyle w:val="ListParagraph"/>
                                <w:rPr>
                                  <w:i/>
                                  <w:color w:val="000000" w:themeColor="text1"/>
                                </w:rPr>
                              </w:pPr>
                            </w:p>
                            <w:tbl>
                              <w:tblPr>
                                <w:tblStyle w:val="TableGrid"/>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D76477" w:rsidRPr="00FB6559" w14:paraId="154F96C1" w14:textId="77777777" w:rsidTr="00A542A8">
                                <w:trPr>
                                  <w:trHeight w:hRule="exact" w:val="737"/>
                                </w:trPr>
                                <w:tc>
                                  <w:tcPr>
                                    <w:tcW w:w="9070" w:type="dxa"/>
                                    <w:tcBorders>
                                      <w:top w:val="single" w:sz="4" w:space="0" w:color="FFFFFF" w:themeColor="background1"/>
                                      <w:bottom w:val="single" w:sz="4" w:space="0" w:color="FFFFFF" w:themeColor="background1"/>
                                    </w:tcBorders>
                                    <w:noWrap/>
                                    <w:tcMar>
                                      <w:top w:w="284" w:type="dxa"/>
                                      <w:bottom w:w="227" w:type="dxa"/>
                                    </w:tcMar>
                                  </w:tcPr>
                                  <w:p w14:paraId="3C51484D" w14:textId="77777777" w:rsidR="00D76477" w:rsidRPr="00A542A8" w:rsidRDefault="00D76477" w:rsidP="00CF1622">
                                    <w:pPr>
                                      <w:rPr>
                                        <w:color w:val="FFFFFF" w:themeColor="background1"/>
                                      </w:rPr>
                                    </w:pPr>
                                    <w:r>
                                      <w:rPr>
                                        <w:color w:val="FFFFFF" w:themeColor="background1"/>
                                      </w:rPr>
                                      <w:t>Twitter:</w:t>
                                    </w:r>
                                    <w:r w:rsidRPr="008A21FF">
                                      <w:rPr>
                                        <w:color w:val="FFFFFF" w:themeColor="background1"/>
                                      </w:rPr>
                                      <w:t xml:space="preserve"> </w:t>
                                    </w:r>
                                    <w:hyperlink r:id="rId38" w:history="1">
                                      <w:r w:rsidRPr="008A21FF">
                                        <w:rPr>
                                          <w:rStyle w:val="Hyperlink"/>
                                          <w:color w:val="FFFFFF" w:themeColor="background1"/>
                                        </w:rPr>
                                        <w:t>@mariestopesaus</w:t>
                                      </w:r>
                                    </w:hyperlink>
                                  </w:p>
                                </w:tc>
                              </w:tr>
                              <w:tr w:rsidR="00D76477" w14:paraId="0FDA473A"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2957295B" w14:textId="77777777" w:rsidR="00D76477" w:rsidRPr="00A542A8" w:rsidRDefault="00AC7E4D" w:rsidP="00CF1622">
                                    <w:pPr>
                                      <w:rPr>
                                        <w:color w:val="FFFFFF" w:themeColor="background1"/>
                                      </w:rPr>
                                    </w:pPr>
                                    <w:hyperlink r:id="rId39" w:history="1">
                                      <w:r w:rsidR="00D76477" w:rsidRPr="00A542A8">
                                        <w:rPr>
                                          <w:rStyle w:val="Hyperlink"/>
                                          <w:color w:val="FFFFFF" w:themeColor="background1"/>
                                          <w:u w:val="none"/>
                                        </w:rPr>
                                        <w:t xml:space="preserve">Facebook: </w:t>
                                      </w:r>
                                      <w:r w:rsidR="00D76477" w:rsidRPr="00A542A8">
                                        <w:rPr>
                                          <w:rStyle w:val="Hyperlink"/>
                                          <w:color w:val="FFFFFF" w:themeColor="background1"/>
                                        </w:rPr>
                                        <w:t>@mariestopesau</w:t>
                                      </w:r>
                                    </w:hyperlink>
                                  </w:p>
                                </w:tc>
                              </w:tr>
                              <w:tr w:rsidR="00D76477" w14:paraId="3140F763"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43EB3444" w14:textId="77777777" w:rsidR="00D76477" w:rsidRPr="003629DD" w:rsidRDefault="00AC7E4D" w:rsidP="005C617B">
                                    <w:pPr>
                                      <w:rPr>
                                        <w:color w:val="FFFFFF" w:themeColor="background1"/>
                                      </w:rPr>
                                    </w:pPr>
                                    <w:hyperlink r:id="rId40" w:history="1">
                                      <w:r w:rsidR="00D76477" w:rsidRPr="00A542A8">
                                        <w:rPr>
                                          <w:rStyle w:val="Hyperlink"/>
                                          <w:color w:val="FFFFFF" w:themeColor="background1"/>
                                          <w:u w:val="none"/>
                                        </w:rPr>
                                        <w:t xml:space="preserve">Instagram: </w:t>
                                      </w:r>
                                      <w:proofErr w:type="spellStart"/>
                                      <w:r w:rsidR="00D76477" w:rsidRPr="00A542A8">
                                        <w:rPr>
                                          <w:rStyle w:val="Hyperlink"/>
                                          <w:color w:val="FFFFFF" w:themeColor="background1"/>
                                        </w:rPr>
                                        <w:t>mariestopesaus</w:t>
                                      </w:r>
                                      <w:proofErr w:type="spellEnd"/>
                                    </w:hyperlink>
                                  </w:p>
                                </w:tc>
                              </w:tr>
                              <w:tr w:rsidR="00D76477" w14:paraId="2C8C743E"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245F4CE9" w14:textId="77777777" w:rsidR="00D76477" w:rsidRPr="00A542A8" w:rsidRDefault="00AC7E4D" w:rsidP="005C617B">
                                    <w:pPr>
                                      <w:rPr>
                                        <w:rStyle w:val="Hyperlink"/>
                                        <w:color w:val="FFFFFF" w:themeColor="background1"/>
                                        <w:u w:val="none"/>
                                      </w:rPr>
                                    </w:pPr>
                                    <w:hyperlink r:id="rId41" w:history="1">
                                      <w:r w:rsidR="00D76477" w:rsidRPr="00A542A8">
                                        <w:rPr>
                                          <w:rStyle w:val="Hyperlink"/>
                                          <w:color w:val="FFFFFF" w:themeColor="background1"/>
                                          <w:u w:val="none"/>
                                        </w:rPr>
                                        <w:t xml:space="preserve">Website: </w:t>
                                      </w:r>
                                      <w:r w:rsidR="00D76477" w:rsidRPr="00A542A8">
                                        <w:rPr>
                                          <w:rStyle w:val="Hyperlink"/>
                                          <w:color w:val="FFFFFF" w:themeColor="background1"/>
                                        </w:rPr>
                                        <w:t>mariestopes.org.au</w:t>
                                      </w:r>
                                    </w:hyperlink>
                                  </w:p>
                                  <w:p w14:paraId="7716461B" w14:textId="77777777" w:rsidR="00D76477" w:rsidRPr="00A542A8" w:rsidRDefault="00D76477" w:rsidP="00CF1622"/>
                                </w:tc>
                              </w:tr>
                            </w:tbl>
                            <w:p w14:paraId="235440DF" w14:textId="77777777" w:rsidR="00D76477" w:rsidRDefault="00D76477" w:rsidP="00066B95">
                              <w:pPr>
                                <w:rPr>
                                  <w:color w:val="000000" w:themeColor="text1"/>
                                </w:rPr>
                              </w:pPr>
                            </w:p>
                            <w:p w14:paraId="72497663" w14:textId="77777777" w:rsidR="00D76477" w:rsidRPr="003629DD" w:rsidRDefault="00D76477" w:rsidP="00066B95">
                              <w:pPr>
                                <w:rPr>
                                  <w:color w:val="FFFFFF" w:themeColor="background1"/>
                                </w:rPr>
                              </w:pPr>
                              <w:r w:rsidRPr="003629DD">
                                <w:rPr>
                                  <w:color w:val="FFFFFF" w:themeColor="background1"/>
                                </w:rPr>
                                <w:t xml:space="preserve">You can also support access to sexual and reproductive healthcare by </w:t>
                              </w:r>
                              <w:r w:rsidRPr="003629DD">
                                <w:rPr>
                                  <w:color w:val="FFFFFF" w:themeColor="background1"/>
                                </w:rPr>
                                <w:br/>
                                <w:t xml:space="preserve">making a tax deductible donation @ </w:t>
                              </w:r>
                              <w:hyperlink r:id="rId42" w:history="1">
                                <w:r w:rsidRPr="003629DD">
                                  <w:rPr>
                                    <w:rStyle w:val="Hyperlink"/>
                                    <w:color w:val="FFFFFF" w:themeColor="background1"/>
                                  </w:rPr>
                                  <w:t>https://www.mariestopes.org.au/donate/</w:t>
                                </w:r>
                              </w:hyperlink>
                            </w:p>
                            <w:p w14:paraId="074FA9D5" w14:textId="77777777" w:rsidR="00D76477" w:rsidRDefault="00D76477" w:rsidP="00066B95">
                              <w:pPr>
                                <w:rPr>
                                  <w:rStyle w:val="Hyperlink"/>
                                  <w:color w:val="FFFFFF" w:themeColor="background1"/>
                                </w:rPr>
                              </w:pPr>
                              <w:r w:rsidRPr="003629DD">
                                <w:rPr>
                                  <w:color w:val="FFFFFF" w:themeColor="background1"/>
                                </w:rPr>
                                <w:t xml:space="preserve">If you would like to give us feedback about this publication, please get in touch with us at </w:t>
                              </w:r>
                              <w:hyperlink r:id="rId43" w:history="1">
                                <w:r w:rsidRPr="003629DD">
                                  <w:rPr>
                                    <w:rStyle w:val="Hyperlink"/>
                                    <w:color w:val="FFFFFF" w:themeColor="background1"/>
                                  </w:rPr>
                                  <w:t>policy@mariestopes.org.au</w:t>
                                </w:r>
                              </w:hyperlink>
                            </w:p>
                            <w:p w14:paraId="1632F938" w14:textId="77777777" w:rsidR="00D76477" w:rsidRDefault="00D76477" w:rsidP="00066B95">
                              <w:pPr>
                                <w:rPr>
                                  <w:rStyle w:val="Hyperlink"/>
                                  <w:color w:val="FFFFFF" w:themeColor="background1"/>
                                </w:rPr>
                              </w:pPr>
                            </w:p>
                            <w:p w14:paraId="3C8F8C98" w14:textId="77777777" w:rsidR="00D76477" w:rsidRDefault="00D76477" w:rsidP="00066B95">
                              <w:pPr>
                                <w:rPr>
                                  <w:rStyle w:val="Hyperlink"/>
                                  <w:color w:val="FFFFFF" w:themeColor="background1"/>
                                </w:rPr>
                              </w:pPr>
                            </w:p>
                            <w:p w14:paraId="6A118659" w14:textId="77777777" w:rsidR="00D76477" w:rsidRDefault="00D76477" w:rsidP="00066B95">
                              <w:pPr>
                                <w:rPr>
                                  <w:rStyle w:val="Hyperlink"/>
                                  <w:color w:val="FFFFFF" w:themeColor="background1"/>
                                </w:rPr>
                              </w:pPr>
                            </w:p>
                            <w:p w14:paraId="3D5BEA16" w14:textId="77777777" w:rsidR="00D76477" w:rsidRDefault="00D76477" w:rsidP="00066B95">
                              <w:pPr>
                                <w:rPr>
                                  <w:rStyle w:val="Hyperlink"/>
                                  <w:color w:val="FFFFFF" w:themeColor="background1"/>
                                </w:rPr>
                              </w:pPr>
                            </w:p>
                            <w:p w14:paraId="0A301B19" w14:textId="77777777" w:rsidR="00D76477" w:rsidRPr="003629DD" w:rsidRDefault="00D76477" w:rsidP="00066B95">
                              <w:pPr>
                                <w:rPr>
                                  <w:rStyle w:val="Hyperlink"/>
                                  <w:color w:val="FFFFFF" w:themeColor="background1"/>
                                </w:rPr>
                              </w:pPr>
                            </w:p>
                            <w:p w14:paraId="728C3E09" w14:textId="77777777" w:rsidR="00D76477" w:rsidRDefault="00D76477" w:rsidP="00066B95">
                              <w:pPr>
                                <w:rPr>
                                  <w:color w:val="000000" w:themeColor="text1"/>
                                </w:rPr>
                              </w:pPr>
                            </w:p>
                            <w:tbl>
                              <w:tblPr>
                                <w:tblStyle w:val="TableGrid"/>
                                <w:tblW w:w="0" w:type="auto"/>
                                <w:jc w:val="center"/>
                                <w:tblLook w:val="04A0" w:firstRow="1" w:lastRow="0" w:firstColumn="1" w:lastColumn="0" w:noHBand="0" w:noVBand="1"/>
                              </w:tblPr>
                              <w:tblGrid>
                                <w:gridCol w:w="3021"/>
                                <w:gridCol w:w="2932"/>
                                <w:gridCol w:w="2933"/>
                              </w:tblGrid>
                              <w:tr w:rsidR="00D76477" w14:paraId="2B553CFE" w14:textId="77777777" w:rsidTr="00671B6F">
                                <w:trPr>
                                  <w:jc w:val="center"/>
                                </w:trPr>
                                <w:tc>
                                  <w:tcPr>
                                    <w:tcW w:w="3023" w:type="dxa"/>
                                    <w:vAlign w:val="center"/>
                                  </w:tcPr>
                                  <w:p w14:paraId="0934C2B4" w14:textId="221829B6" w:rsidR="00D76477" w:rsidRDefault="00D76477" w:rsidP="003629DD">
                                    <w:pPr>
                                      <w:pStyle w:val="FootnoteText"/>
                                      <w:tabs>
                                        <w:tab w:val="left" w:pos="1260"/>
                                      </w:tabs>
                                    </w:pPr>
                                    <w:r>
                                      <w:rPr>
                                        <w:noProof/>
                                        <w:lang w:eastAsia="en-AU"/>
                                      </w:rPr>
                                      <w:drawing>
                                        <wp:inline distT="0" distB="0" distL="0" distR="0" wp14:anchorId="6D4E44A6" wp14:editId="140502B6">
                                          <wp:extent cx="1727200" cy="460375"/>
                                          <wp:effectExtent l="0" t="0" r="0" b="0"/>
                                          <wp:docPr id="2" name="Picture 2" descr="C:\Users\BonneyC\Desktop\MSA-Master-Logo-RGB.jpg"/>
                                          <wp:cNvGraphicFramePr/>
                                          <a:graphic xmlns:a="http://schemas.openxmlformats.org/drawingml/2006/main">
                                            <a:graphicData uri="http://schemas.openxmlformats.org/drawingml/2006/picture">
                                              <pic:pic xmlns:pic="http://schemas.openxmlformats.org/drawingml/2006/picture">
                                                <pic:nvPicPr>
                                                  <pic:cNvPr id="30" name="Picture 30" descr="C:\Users\BonneyC\Desktop\MSA-Master-Logo-RGB.jpg"/>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27200" cy="460375"/>
                                                  </a:xfrm>
                                                  <a:prstGeom prst="rect">
                                                    <a:avLst/>
                                                  </a:prstGeom>
                                                  <a:noFill/>
                                                  <a:ln>
                                                    <a:noFill/>
                                                  </a:ln>
                                                </pic:spPr>
                                              </pic:pic>
                                            </a:graphicData>
                                          </a:graphic>
                                        </wp:inline>
                                      </w:drawing>
                                    </w:r>
                                  </w:p>
                                </w:tc>
                                <w:tc>
                                  <w:tcPr>
                                    <w:tcW w:w="3023" w:type="dxa"/>
                                    <w:vAlign w:val="center"/>
                                  </w:tcPr>
                                  <w:p w14:paraId="481E285D" w14:textId="77777777" w:rsidR="00D76477" w:rsidRDefault="00D76477" w:rsidP="003629DD">
                                    <w:pPr>
                                      <w:pStyle w:val="FootnoteText"/>
                                      <w:tabs>
                                        <w:tab w:val="left" w:pos="1260"/>
                                      </w:tabs>
                                    </w:pPr>
                                  </w:p>
                                </w:tc>
                                <w:tc>
                                  <w:tcPr>
                                    <w:tcW w:w="3024" w:type="dxa"/>
                                    <w:vAlign w:val="center"/>
                                  </w:tcPr>
                                  <w:p w14:paraId="47FF61BC" w14:textId="77777777" w:rsidR="00D76477" w:rsidRDefault="00D76477" w:rsidP="003629DD">
                                    <w:pPr>
                                      <w:pStyle w:val="FootnoteText"/>
                                      <w:tabs>
                                        <w:tab w:val="left" w:pos="1260"/>
                                      </w:tabs>
                                    </w:pPr>
                                  </w:p>
                                </w:tc>
                              </w:tr>
                            </w:tbl>
                            <w:p w14:paraId="0011B1FF" w14:textId="77777777" w:rsidR="00D76477" w:rsidRPr="008135CA" w:rsidRDefault="00D76477" w:rsidP="00066B95">
                              <w:pPr>
                                <w:rPr>
                                  <w:color w:val="000000" w:themeColor="text1"/>
                                </w:rPr>
                              </w:pPr>
                            </w:p>
                            <w:p w14:paraId="41E62F52" w14:textId="77777777" w:rsidR="00D76477" w:rsidRDefault="00D76477" w:rsidP="00066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10B4" id="Group 10" o:spid="_x0000_s1037" style="position:absolute;margin-left:-71.65pt;margin-top:-110.4pt;width:595.3pt;height:627.95pt;z-index:251674624" coordsize="75603,79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">
                <v:rect id="Rectangle 13" o:spid="_x0000_s1038" style="position:absolute;width:75603;height:79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" fillcolor="#9baf91" stroked="f" strokeweight="1pt"/>
                <v:shape id="Text Box 14" o:spid="_x0000_s1039" type="#_x0000_t202" style="position:absolute;left:3429;top:3714;width:58220;height:5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EB91EB9" w14:textId="77777777" w:rsidR="00D76477" w:rsidRPr="003629DD" w:rsidRDefault="00D76477" w:rsidP="00066B95">
                        <w:pPr>
                          <w:pStyle w:val="Heading1"/>
                          <w:rPr>
                            <w:color w:val="FFFFFF" w:themeColor="background1"/>
                          </w:rPr>
                        </w:pPr>
                        <w:bookmarkStart w:id="150" w:name="_Toc57368617"/>
                        <w:r w:rsidRPr="003629DD">
                          <w:rPr>
                            <w:color w:val="FFFFFF" w:themeColor="background1"/>
                          </w:rPr>
                          <w:t>Further information and feedback</w:t>
                        </w:r>
                        <w:bookmarkEnd w:id="150"/>
                      </w:p>
                      <w:p w14:paraId="5EDC668A" w14:textId="77777777" w:rsidR="00D76477" w:rsidRPr="003629DD" w:rsidRDefault="00D76477" w:rsidP="00066B95">
                        <w:pPr>
                          <w:rPr>
                            <w:color w:val="FFFFFF" w:themeColor="background1"/>
                          </w:rPr>
                        </w:pPr>
                        <w:r w:rsidRPr="003629DD">
                          <w:rPr>
                            <w:color w:val="FFFFFF" w:themeColor="background1"/>
                          </w:rPr>
                          <w:t>If you would like to know more about the work that we do at Marie Stopes Australia, you can follow us on social media or get in touch via the following channels.</w:t>
                        </w:r>
                      </w:p>
                      <w:p w14:paraId="485692F9" w14:textId="77777777" w:rsidR="00D76477" w:rsidRDefault="00D76477" w:rsidP="00066B95">
                        <w:pPr>
                          <w:pStyle w:val="ListParagraph"/>
                          <w:rPr>
                            <w:i/>
                            <w:color w:val="000000" w:themeColor="text1"/>
                          </w:rPr>
                        </w:pPr>
                      </w:p>
                      <w:tbl>
                        <w:tblPr>
                          <w:tblStyle w:val="TableGrid"/>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D76477" w:rsidRPr="00FB6559" w14:paraId="154F96C1" w14:textId="77777777" w:rsidTr="00A542A8">
                          <w:trPr>
                            <w:trHeight w:hRule="exact" w:val="737"/>
                          </w:trPr>
                          <w:tc>
                            <w:tcPr>
                              <w:tcW w:w="9070" w:type="dxa"/>
                              <w:tcBorders>
                                <w:top w:val="single" w:sz="4" w:space="0" w:color="FFFFFF" w:themeColor="background1"/>
                                <w:bottom w:val="single" w:sz="4" w:space="0" w:color="FFFFFF" w:themeColor="background1"/>
                              </w:tcBorders>
                              <w:noWrap/>
                              <w:tcMar>
                                <w:top w:w="284" w:type="dxa"/>
                                <w:bottom w:w="227" w:type="dxa"/>
                              </w:tcMar>
                            </w:tcPr>
                            <w:p w14:paraId="3C51484D" w14:textId="77777777" w:rsidR="00D76477" w:rsidRPr="00A542A8" w:rsidRDefault="00D76477" w:rsidP="00CF1622">
                              <w:pPr>
                                <w:rPr>
                                  <w:color w:val="FFFFFF" w:themeColor="background1"/>
                                </w:rPr>
                              </w:pPr>
                              <w:r>
                                <w:rPr>
                                  <w:color w:val="FFFFFF" w:themeColor="background1"/>
                                </w:rPr>
                                <w:t>Twitter:</w:t>
                              </w:r>
                              <w:r w:rsidRPr="008A21FF">
                                <w:rPr>
                                  <w:color w:val="FFFFFF" w:themeColor="background1"/>
                                </w:rPr>
                                <w:t xml:space="preserve"> </w:t>
                              </w:r>
                              <w:hyperlink r:id="rId45" w:history="1">
                                <w:r w:rsidRPr="008A21FF">
                                  <w:rPr>
                                    <w:rStyle w:val="Hyperlink"/>
                                    <w:color w:val="FFFFFF" w:themeColor="background1"/>
                                  </w:rPr>
                                  <w:t>@mariestopesaus</w:t>
                                </w:r>
                              </w:hyperlink>
                            </w:p>
                          </w:tc>
                        </w:tr>
                        <w:tr w:rsidR="00D76477" w14:paraId="0FDA473A"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2957295B" w14:textId="77777777" w:rsidR="00D76477" w:rsidRPr="00A542A8" w:rsidRDefault="00AC7E4D" w:rsidP="00CF1622">
                              <w:pPr>
                                <w:rPr>
                                  <w:color w:val="FFFFFF" w:themeColor="background1"/>
                                </w:rPr>
                              </w:pPr>
                              <w:hyperlink r:id="rId46" w:history="1">
                                <w:r w:rsidR="00D76477" w:rsidRPr="00A542A8">
                                  <w:rPr>
                                    <w:rStyle w:val="Hyperlink"/>
                                    <w:color w:val="FFFFFF" w:themeColor="background1"/>
                                    <w:u w:val="none"/>
                                  </w:rPr>
                                  <w:t xml:space="preserve">Facebook: </w:t>
                                </w:r>
                                <w:r w:rsidR="00D76477" w:rsidRPr="00A542A8">
                                  <w:rPr>
                                    <w:rStyle w:val="Hyperlink"/>
                                    <w:color w:val="FFFFFF" w:themeColor="background1"/>
                                  </w:rPr>
                                  <w:t>@mariestopesau</w:t>
                                </w:r>
                              </w:hyperlink>
                            </w:p>
                          </w:tc>
                        </w:tr>
                        <w:tr w:rsidR="00D76477" w14:paraId="3140F763"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43EB3444" w14:textId="77777777" w:rsidR="00D76477" w:rsidRPr="003629DD" w:rsidRDefault="00AC7E4D" w:rsidP="005C617B">
                              <w:pPr>
                                <w:rPr>
                                  <w:color w:val="FFFFFF" w:themeColor="background1"/>
                                </w:rPr>
                              </w:pPr>
                              <w:hyperlink r:id="rId47" w:history="1">
                                <w:r w:rsidR="00D76477" w:rsidRPr="00A542A8">
                                  <w:rPr>
                                    <w:rStyle w:val="Hyperlink"/>
                                    <w:color w:val="FFFFFF" w:themeColor="background1"/>
                                    <w:u w:val="none"/>
                                  </w:rPr>
                                  <w:t xml:space="preserve">Instagram: </w:t>
                                </w:r>
                                <w:proofErr w:type="spellStart"/>
                                <w:r w:rsidR="00D76477" w:rsidRPr="00A542A8">
                                  <w:rPr>
                                    <w:rStyle w:val="Hyperlink"/>
                                    <w:color w:val="FFFFFF" w:themeColor="background1"/>
                                  </w:rPr>
                                  <w:t>mariestopesaus</w:t>
                                </w:r>
                                <w:proofErr w:type="spellEnd"/>
                              </w:hyperlink>
                            </w:p>
                          </w:tc>
                        </w:tr>
                        <w:tr w:rsidR="00D76477" w14:paraId="2C8C743E"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245F4CE9" w14:textId="77777777" w:rsidR="00D76477" w:rsidRPr="00A542A8" w:rsidRDefault="00AC7E4D" w:rsidP="005C617B">
                              <w:pPr>
                                <w:rPr>
                                  <w:rStyle w:val="Hyperlink"/>
                                  <w:color w:val="FFFFFF" w:themeColor="background1"/>
                                  <w:u w:val="none"/>
                                </w:rPr>
                              </w:pPr>
                              <w:hyperlink r:id="rId48" w:history="1">
                                <w:r w:rsidR="00D76477" w:rsidRPr="00A542A8">
                                  <w:rPr>
                                    <w:rStyle w:val="Hyperlink"/>
                                    <w:color w:val="FFFFFF" w:themeColor="background1"/>
                                    <w:u w:val="none"/>
                                  </w:rPr>
                                  <w:t xml:space="preserve">Website: </w:t>
                                </w:r>
                                <w:r w:rsidR="00D76477" w:rsidRPr="00A542A8">
                                  <w:rPr>
                                    <w:rStyle w:val="Hyperlink"/>
                                    <w:color w:val="FFFFFF" w:themeColor="background1"/>
                                  </w:rPr>
                                  <w:t>mariestopes.org.au</w:t>
                                </w:r>
                              </w:hyperlink>
                            </w:p>
                            <w:p w14:paraId="7716461B" w14:textId="77777777" w:rsidR="00D76477" w:rsidRPr="00A542A8" w:rsidRDefault="00D76477" w:rsidP="00CF1622"/>
                          </w:tc>
                        </w:tr>
                      </w:tbl>
                      <w:p w14:paraId="235440DF" w14:textId="77777777" w:rsidR="00D76477" w:rsidRDefault="00D76477" w:rsidP="00066B95">
                        <w:pPr>
                          <w:rPr>
                            <w:color w:val="000000" w:themeColor="text1"/>
                          </w:rPr>
                        </w:pPr>
                      </w:p>
                      <w:p w14:paraId="72497663" w14:textId="77777777" w:rsidR="00D76477" w:rsidRPr="003629DD" w:rsidRDefault="00D76477" w:rsidP="00066B95">
                        <w:pPr>
                          <w:rPr>
                            <w:color w:val="FFFFFF" w:themeColor="background1"/>
                          </w:rPr>
                        </w:pPr>
                        <w:r w:rsidRPr="003629DD">
                          <w:rPr>
                            <w:color w:val="FFFFFF" w:themeColor="background1"/>
                          </w:rPr>
                          <w:t xml:space="preserve">You can also support access to sexual and reproductive healthcare by </w:t>
                        </w:r>
                        <w:r w:rsidRPr="003629DD">
                          <w:rPr>
                            <w:color w:val="FFFFFF" w:themeColor="background1"/>
                          </w:rPr>
                          <w:br/>
                          <w:t xml:space="preserve">making a tax deductible donation @ </w:t>
                        </w:r>
                        <w:hyperlink r:id="rId49" w:history="1">
                          <w:r w:rsidRPr="003629DD">
                            <w:rPr>
                              <w:rStyle w:val="Hyperlink"/>
                              <w:color w:val="FFFFFF" w:themeColor="background1"/>
                            </w:rPr>
                            <w:t>https://www.mariestopes.org.au/donate/</w:t>
                          </w:r>
                        </w:hyperlink>
                      </w:p>
                      <w:p w14:paraId="074FA9D5" w14:textId="77777777" w:rsidR="00D76477" w:rsidRDefault="00D76477" w:rsidP="00066B95">
                        <w:pPr>
                          <w:rPr>
                            <w:rStyle w:val="Hyperlink"/>
                            <w:color w:val="FFFFFF" w:themeColor="background1"/>
                          </w:rPr>
                        </w:pPr>
                        <w:r w:rsidRPr="003629DD">
                          <w:rPr>
                            <w:color w:val="FFFFFF" w:themeColor="background1"/>
                          </w:rPr>
                          <w:t xml:space="preserve">If you would like to give us feedback about this publication, please get in touch with us at </w:t>
                        </w:r>
                        <w:hyperlink r:id="rId50" w:history="1">
                          <w:r w:rsidRPr="003629DD">
                            <w:rPr>
                              <w:rStyle w:val="Hyperlink"/>
                              <w:color w:val="FFFFFF" w:themeColor="background1"/>
                            </w:rPr>
                            <w:t>policy@mariestopes.org.au</w:t>
                          </w:r>
                        </w:hyperlink>
                      </w:p>
                      <w:p w14:paraId="1632F938" w14:textId="77777777" w:rsidR="00D76477" w:rsidRDefault="00D76477" w:rsidP="00066B95">
                        <w:pPr>
                          <w:rPr>
                            <w:rStyle w:val="Hyperlink"/>
                            <w:color w:val="FFFFFF" w:themeColor="background1"/>
                          </w:rPr>
                        </w:pPr>
                      </w:p>
                      <w:p w14:paraId="3C8F8C98" w14:textId="77777777" w:rsidR="00D76477" w:rsidRDefault="00D76477" w:rsidP="00066B95">
                        <w:pPr>
                          <w:rPr>
                            <w:rStyle w:val="Hyperlink"/>
                            <w:color w:val="FFFFFF" w:themeColor="background1"/>
                          </w:rPr>
                        </w:pPr>
                      </w:p>
                      <w:p w14:paraId="6A118659" w14:textId="77777777" w:rsidR="00D76477" w:rsidRDefault="00D76477" w:rsidP="00066B95">
                        <w:pPr>
                          <w:rPr>
                            <w:rStyle w:val="Hyperlink"/>
                            <w:color w:val="FFFFFF" w:themeColor="background1"/>
                          </w:rPr>
                        </w:pPr>
                      </w:p>
                      <w:p w14:paraId="3D5BEA16" w14:textId="77777777" w:rsidR="00D76477" w:rsidRDefault="00D76477" w:rsidP="00066B95">
                        <w:pPr>
                          <w:rPr>
                            <w:rStyle w:val="Hyperlink"/>
                            <w:color w:val="FFFFFF" w:themeColor="background1"/>
                          </w:rPr>
                        </w:pPr>
                      </w:p>
                      <w:p w14:paraId="0A301B19" w14:textId="77777777" w:rsidR="00D76477" w:rsidRPr="003629DD" w:rsidRDefault="00D76477" w:rsidP="00066B95">
                        <w:pPr>
                          <w:rPr>
                            <w:rStyle w:val="Hyperlink"/>
                            <w:color w:val="FFFFFF" w:themeColor="background1"/>
                          </w:rPr>
                        </w:pPr>
                      </w:p>
                      <w:p w14:paraId="728C3E09" w14:textId="77777777" w:rsidR="00D76477" w:rsidRDefault="00D76477" w:rsidP="00066B95">
                        <w:pPr>
                          <w:rPr>
                            <w:color w:val="000000" w:themeColor="text1"/>
                          </w:rPr>
                        </w:pPr>
                      </w:p>
                      <w:tbl>
                        <w:tblPr>
                          <w:tblStyle w:val="TableGrid"/>
                          <w:tblW w:w="0" w:type="auto"/>
                          <w:jc w:val="center"/>
                          <w:tblLook w:val="04A0" w:firstRow="1" w:lastRow="0" w:firstColumn="1" w:lastColumn="0" w:noHBand="0" w:noVBand="1"/>
                        </w:tblPr>
                        <w:tblGrid>
                          <w:gridCol w:w="3021"/>
                          <w:gridCol w:w="2932"/>
                          <w:gridCol w:w="2933"/>
                        </w:tblGrid>
                        <w:tr w:rsidR="00D76477" w14:paraId="2B553CFE" w14:textId="77777777" w:rsidTr="00671B6F">
                          <w:trPr>
                            <w:jc w:val="center"/>
                          </w:trPr>
                          <w:tc>
                            <w:tcPr>
                              <w:tcW w:w="3023" w:type="dxa"/>
                              <w:vAlign w:val="center"/>
                            </w:tcPr>
                            <w:p w14:paraId="0934C2B4" w14:textId="221829B6" w:rsidR="00D76477" w:rsidRDefault="00D76477" w:rsidP="003629DD">
                              <w:pPr>
                                <w:pStyle w:val="FootnoteText"/>
                                <w:tabs>
                                  <w:tab w:val="left" w:pos="1260"/>
                                </w:tabs>
                              </w:pPr>
                              <w:r>
                                <w:rPr>
                                  <w:noProof/>
                                  <w:lang w:eastAsia="en-AU"/>
                                </w:rPr>
                                <w:drawing>
                                  <wp:inline distT="0" distB="0" distL="0" distR="0" wp14:anchorId="6D4E44A6" wp14:editId="140502B6">
                                    <wp:extent cx="1727200" cy="460375"/>
                                    <wp:effectExtent l="0" t="0" r="0" b="0"/>
                                    <wp:docPr id="2" name="Picture 2" descr="C:\Users\BonneyC\Desktop\MSA-Master-Logo-RGB.jpg"/>
                                    <wp:cNvGraphicFramePr/>
                                    <a:graphic xmlns:a="http://schemas.openxmlformats.org/drawingml/2006/main">
                                      <a:graphicData uri="http://schemas.openxmlformats.org/drawingml/2006/picture">
                                        <pic:pic xmlns:pic="http://schemas.openxmlformats.org/drawingml/2006/picture">
                                          <pic:nvPicPr>
                                            <pic:cNvPr id="30" name="Picture 30" descr="C:\Users\BonneyC\Desktop\MSA-Master-Logo-RGB.jpg"/>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27200" cy="460375"/>
                                            </a:xfrm>
                                            <a:prstGeom prst="rect">
                                              <a:avLst/>
                                            </a:prstGeom>
                                            <a:noFill/>
                                            <a:ln>
                                              <a:noFill/>
                                            </a:ln>
                                          </pic:spPr>
                                        </pic:pic>
                                      </a:graphicData>
                                    </a:graphic>
                                  </wp:inline>
                                </w:drawing>
                              </w:r>
                            </w:p>
                          </w:tc>
                          <w:tc>
                            <w:tcPr>
                              <w:tcW w:w="3023" w:type="dxa"/>
                              <w:vAlign w:val="center"/>
                            </w:tcPr>
                            <w:p w14:paraId="481E285D" w14:textId="77777777" w:rsidR="00D76477" w:rsidRDefault="00D76477" w:rsidP="003629DD">
                              <w:pPr>
                                <w:pStyle w:val="FootnoteText"/>
                                <w:tabs>
                                  <w:tab w:val="left" w:pos="1260"/>
                                </w:tabs>
                              </w:pPr>
                            </w:p>
                          </w:tc>
                          <w:tc>
                            <w:tcPr>
                              <w:tcW w:w="3024" w:type="dxa"/>
                              <w:vAlign w:val="center"/>
                            </w:tcPr>
                            <w:p w14:paraId="47FF61BC" w14:textId="77777777" w:rsidR="00D76477" w:rsidRDefault="00D76477" w:rsidP="003629DD">
                              <w:pPr>
                                <w:pStyle w:val="FootnoteText"/>
                                <w:tabs>
                                  <w:tab w:val="left" w:pos="1260"/>
                                </w:tabs>
                              </w:pPr>
                            </w:p>
                          </w:tc>
                        </w:tr>
                      </w:tbl>
                      <w:p w14:paraId="0011B1FF" w14:textId="77777777" w:rsidR="00D76477" w:rsidRPr="008135CA" w:rsidRDefault="00D76477" w:rsidP="00066B95">
                        <w:pPr>
                          <w:rPr>
                            <w:color w:val="000000" w:themeColor="text1"/>
                          </w:rPr>
                        </w:pPr>
                      </w:p>
                      <w:p w14:paraId="41E62F52" w14:textId="77777777" w:rsidR="00D76477" w:rsidRDefault="00D76477" w:rsidP="00066B95"/>
                    </w:txbxContent>
                  </v:textbox>
                </v:shape>
              </v:group>
            </w:pict>
          </mc:Fallback>
        </mc:AlternateContent>
      </w:r>
    </w:p>
    <w:p w14:paraId="0C50B82C" w14:textId="77777777" w:rsidR="00D624D9" w:rsidRPr="00D624D9" w:rsidRDefault="00D624D9" w:rsidP="00D0581F">
      <w:pPr>
        <w:rPr>
          <w:rFonts w:cs="Arial"/>
          <w:sz w:val="20"/>
        </w:rPr>
      </w:pPr>
    </w:p>
    <w:p w14:paraId="5B24A466" w14:textId="77777777" w:rsidR="00D624D9" w:rsidRPr="00D624D9" w:rsidRDefault="00D624D9" w:rsidP="00D0581F">
      <w:pPr>
        <w:rPr>
          <w:rFonts w:cs="Arial"/>
          <w:sz w:val="20"/>
        </w:rPr>
      </w:pPr>
    </w:p>
    <w:p w14:paraId="1AD07AEB" w14:textId="76E00416" w:rsidR="00D624D9" w:rsidRPr="00D624D9" w:rsidRDefault="00D624D9" w:rsidP="00D0581F">
      <w:pPr>
        <w:rPr>
          <w:rFonts w:cs="Arial"/>
          <w:sz w:val="20"/>
        </w:rPr>
      </w:pPr>
    </w:p>
    <w:p w14:paraId="16581F67" w14:textId="3D1D8423" w:rsidR="00D624D9" w:rsidRPr="00D624D9" w:rsidRDefault="00D624D9" w:rsidP="00D0581F">
      <w:pPr>
        <w:rPr>
          <w:rFonts w:cs="Arial"/>
          <w:sz w:val="20"/>
        </w:rPr>
      </w:pPr>
    </w:p>
    <w:p w14:paraId="5EE278B4" w14:textId="048B6BC2" w:rsidR="00D624D9" w:rsidRPr="00D624D9" w:rsidRDefault="00D624D9" w:rsidP="00D0581F">
      <w:pPr>
        <w:rPr>
          <w:rFonts w:cs="Arial"/>
          <w:sz w:val="20"/>
        </w:rPr>
      </w:pPr>
    </w:p>
    <w:p w14:paraId="1EBFEBA8" w14:textId="09C51BEE" w:rsidR="00D624D9" w:rsidRPr="00D624D9" w:rsidRDefault="00D624D9" w:rsidP="00D0581F">
      <w:pPr>
        <w:rPr>
          <w:rFonts w:cs="Arial"/>
          <w:sz w:val="20"/>
        </w:rPr>
      </w:pPr>
    </w:p>
    <w:p w14:paraId="435C585C" w14:textId="42005C2E" w:rsidR="00D624D9" w:rsidRPr="00D624D9" w:rsidRDefault="00D624D9" w:rsidP="00D0581F">
      <w:pPr>
        <w:rPr>
          <w:rFonts w:cs="Arial"/>
          <w:sz w:val="20"/>
        </w:rPr>
      </w:pPr>
    </w:p>
    <w:p w14:paraId="22F30E0B" w14:textId="530BA0CA" w:rsidR="00D624D9" w:rsidRPr="00D624D9" w:rsidRDefault="00D624D9" w:rsidP="00D0581F">
      <w:pPr>
        <w:rPr>
          <w:rFonts w:cs="Arial"/>
          <w:sz w:val="20"/>
        </w:rPr>
      </w:pPr>
    </w:p>
    <w:p w14:paraId="6A09C953" w14:textId="66CEACB1" w:rsidR="00D624D9" w:rsidRPr="00D624D9" w:rsidRDefault="00D624D9" w:rsidP="00D0581F">
      <w:pPr>
        <w:rPr>
          <w:rFonts w:cs="Arial"/>
          <w:sz w:val="20"/>
        </w:rPr>
      </w:pPr>
    </w:p>
    <w:p w14:paraId="2C737114" w14:textId="698E8698" w:rsidR="00D624D9" w:rsidRPr="00D624D9" w:rsidRDefault="00D624D9" w:rsidP="00D0581F">
      <w:pPr>
        <w:rPr>
          <w:rFonts w:cs="Arial"/>
          <w:sz w:val="20"/>
        </w:rPr>
      </w:pPr>
    </w:p>
    <w:p w14:paraId="350BE5AE" w14:textId="1D4B920F" w:rsidR="00D624D9" w:rsidRPr="00D624D9" w:rsidRDefault="00D624D9" w:rsidP="00D0581F">
      <w:pPr>
        <w:rPr>
          <w:rFonts w:cs="Arial"/>
          <w:sz w:val="20"/>
        </w:rPr>
      </w:pPr>
    </w:p>
    <w:p w14:paraId="04EBD6E3" w14:textId="075FCB8A" w:rsidR="00D624D9" w:rsidRPr="00D624D9" w:rsidRDefault="00D624D9" w:rsidP="00D0581F">
      <w:pPr>
        <w:rPr>
          <w:rFonts w:cs="Arial"/>
          <w:sz w:val="20"/>
        </w:rPr>
      </w:pPr>
    </w:p>
    <w:p w14:paraId="0E26341B" w14:textId="287D5DD5" w:rsidR="00D624D9" w:rsidRPr="00D624D9" w:rsidRDefault="00D624D9" w:rsidP="00D0581F">
      <w:pPr>
        <w:rPr>
          <w:rFonts w:cs="Arial"/>
          <w:sz w:val="20"/>
        </w:rPr>
      </w:pPr>
    </w:p>
    <w:p w14:paraId="0A206B3A" w14:textId="77777777" w:rsidR="00D624D9" w:rsidRPr="00D624D9" w:rsidRDefault="00D624D9" w:rsidP="00D0581F">
      <w:pPr>
        <w:rPr>
          <w:rFonts w:cs="Arial"/>
          <w:sz w:val="20"/>
        </w:rPr>
      </w:pPr>
    </w:p>
    <w:p w14:paraId="586B49EC" w14:textId="77777777" w:rsidR="00D624D9" w:rsidRPr="00D624D9" w:rsidRDefault="00D624D9" w:rsidP="00D0581F">
      <w:pPr>
        <w:rPr>
          <w:rFonts w:cs="Arial"/>
          <w:sz w:val="20"/>
        </w:rPr>
      </w:pPr>
    </w:p>
    <w:p w14:paraId="4013F57C" w14:textId="0A161B7A" w:rsidR="00D624D9" w:rsidRPr="00D624D9" w:rsidRDefault="00D624D9" w:rsidP="00D0581F">
      <w:pPr>
        <w:rPr>
          <w:rFonts w:cs="Arial"/>
          <w:sz w:val="20"/>
        </w:rPr>
      </w:pPr>
    </w:p>
    <w:p w14:paraId="735B0D16" w14:textId="77777777" w:rsidR="00D624D9" w:rsidRPr="00D624D9" w:rsidRDefault="00D624D9" w:rsidP="00D0581F">
      <w:pPr>
        <w:rPr>
          <w:rFonts w:cs="Arial"/>
          <w:sz w:val="20"/>
        </w:rPr>
      </w:pPr>
    </w:p>
    <w:p w14:paraId="5883AABD" w14:textId="123EE076" w:rsidR="00D624D9" w:rsidRPr="00D624D9" w:rsidRDefault="00D624D9" w:rsidP="00D0581F">
      <w:pPr>
        <w:rPr>
          <w:rFonts w:cs="Arial"/>
          <w:sz w:val="20"/>
        </w:rPr>
      </w:pPr>
    </w:p>
    <w:p w14:paraId="216B000F" w14:textId="75DE65CD" w:rsidR="00D624D9" w:rsidRPr="00D624D9" w:rsidRDefault="00D624D9" w:rsidP="00D0581F">
      <w:pPr>
        <w:rPr>
          <w:rFonts w:cs="Arial"/>
          <w:sz w:val="20"/>
        </w:rPr>
      </w:pPr>
    </w:p>
    <w:p w14:paraId="671C76C5" w14:textId="0B5B00B3" w:rsidR="00D624D9" w:rsidRPr="00D624D9" w:rsidRDefault="00D624D9" w:rsidP="00D0581F">
      <w:pPr>
        <w:rPr>
          <w:rFonts w:cs="Arial"/>
          <w:sz w:val="20"/>
        </w:rPr>
      </w:pPr>
    </w:p>
    <w:p w14:paraId="4B727281" w14:textId="55BB8EF7" w:rsidR="00D624D9" w:rsidRPr="00D624D9" w:rsidRDefault="00D624D9" w:rsidP="00D0581F">
      <w:pPr>
        <w:rPr>
          <w:rFonts w:cs="Arial"/>
          <w:sz w:val="20"/>
        </w:rPr>
      </w:pPr>
    </w:p>
    <w:p w14:paraId="08C2BFC3" w14:textId="232BC8A9" w:rsidR="00D624D9" w:rsidRPr="00D624D9" w:rsidRDefault="00D624D9" w:rsidP="00D0581F">
      <w:pPr>
        <w:rPr>
          <w:rFonts w:cs="Arial"/>
          <w:sz w:val="20"/>
        </w:rPr>
      </w:pPr>
    </w:p>
    <w:p w14:paraId="595569F9" w14:textId="6E90988B" w:rsidR="00D624D9" w:rsidRPr="00D624D9" w:rsidRDefault="00D624D9" w:rsidP="00D0581F">
      <w:pPr>
        <w:rPr>
          <w:rFonts w:cs="Arial"/>
          <w:sz w:val="20"/>
        </w:rPr>
      </w:pPr>
    </w:p>
    <w:p w14:paraId="77DE5B48" w14:textId="04C5F3DB" w:rsidR="00D624D9" w:rsidRDefault="00D624D9" w:rsidP="00D0581F">
      <w:pPr>
        <w:rPr>
          <w:rFonts w:eastAsiaTheme="majorEastAsia" w:cstheme="majorBidi"/>
          <w:b/>
          <w:color w:val="FFFFFF" w:themeColor="background1"/>
          <w:sz w:val="32"/>
          <w:szCs w:val="32"/>
        </w:rPr>
      </w:pPr>
    </w:p>
    <w:p w14:paraId="11080228" w14:textId="2207A043" w:rsidR="00254D01" w:rsidRDefault="0056482B" w:rsidP="00D0581F">
      <w:pPr>
        <w:rPr>
          <w:rFonts w:cs="Arial"/>
          <w:sz w:val="20"/>
        </w:rPr>
      </w:pPr>
      <w:r>
        <w:rPr>
          <w:rFonts w:cs="Arial"/>
          <w:noProof/>
          <w:sz w:val="20"/>
          <w:lang w:eastAsia="en-AU"/>
        </w:rPr>
        <w:drawing>
          <wp:anchor distT="0" distB="0" distL="114300" distR="114300" simplePos="0" relativeHeight="251699200" behindDoc="0" locked="0" layoutInCell="1" allowOverlap="1" wp14:anchorId="1171B9EF" wp14:editId="0AF98C57">
            <wp:simplePos x="0" y="0"/>
            <wp:positionH relativeFrom="column">
              <wp:posOffset>-725170</wp:posOffset>
            </wp:positionH>
            <wp:positionV relativeFrom="paragraph">
              <wp:posOffset>384175</wp:posOffset>
            </wp:positionV>
            <wp:extent cx="1975485" cy="524510"/>
            <wp:effectExtent l="0" t="0" r="5715"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75485" cy="524510"/>
                    </a:xfrm>
                    <a:prstGeom prst="rect">
                      <a:avLst/>
                    </a:prstGeom>
                    <a:noFill/>
                  </pic:spPr>
                </pic:pic>
              </a:graphicData>
            </a:graphic>
          </wp:anchor>
        </w:drawing>
      </w:r>
    </w:p>
    <w:sectPr w:rsidR="00254D01" w:rsidSect="00656F21">
      <w:endnotePr>
        <w:numFmt w:val="decimal"/>
      </w:endnotePr>
      <w:pgSz w:w="11906" w:h="16838"/>
      <w:pgMar w:top="226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81934" w14:textId="77777777" w:rsidR="00AC7E4D" w:rsidRDefault="00AC7E4D" w:rsidP="00CD4429">
      <w:pPr>
        <w:spacing w:after="0" w:line="240" w:lineRule="auto"/>
      </w:pPr>
      <w:r>
        <w:separator/>
      </w:r>
    </w:p>
  </w:endnote>
  <w:endnote w:type="continuationSeparator" w:id="0">
    <w:p w14:paraId="08376E17" w14:textId="77777777" w:rsidR="00AC7E4D" w:rsidRDefault="00AC7E4D" w:rsidP="00CD4429">
      <w:pPr>
        <w:spacing w:after="0" w:line="240" w:lineRule="auto"/>
      </w:pPr>
      <w:r>
        <w:continuationSeparator/>
      </w:r>
    </w:p>
  </w:endnote>
  <w:endnote w:id="1">
    <w:p w14:paraId="3DE6D4B2" w14:textId="4968B3C3" w:rsidR="00D76477" w:rsidRDefault="00D76477" w:rsidP="00581A5E">
      <w:pPr>
        <w:pStyle w:val="Heading1"/>
        <w:spacing w:line="240" w:lineRule="auto"/>
      </w:pPr>
    </w:p>
    <w:p w14:paraId="5B7A8E2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KT, Anderson JC, Reproductive Coercion: A Systemic Review, Trauma, Violence and Abuse 2018, Vol. 19(4) 371-390</w:t>
      </w:r>
    </w:p>
  </w:endnote>
  <w:endnote w:id="2">
    <w:p w14:paraId="07AD223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Anderson 2018</w:t>
      </w:r>
    </w:p>
  </w:endnote>
  <w:endnote w:id="3">
    <w:p w14:paraId="1805CDC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Anderson 2018</w:t>
      </w:r>
    </w:p>
  </w:endnote>
  <w:endnote w:id="4">
    <w:p w14:paraId="31B5120E" w14:textId="77777777" w:rsidR="00D76477" w:rsidRPr="008337A7" w:rsidRDefault="00D76477" w:rsidP="00BE4A29">
      <w:pPr>
        <w:spacing w:line="240" w:lineRule="auto"/>
        <w:rPr>
          <w:rFonts w:cs="Arial"/>
          <w:sz w:val="20"/>
          <w:szCs w:val="20"/>
        </w:rPr>
      </w:pPr>
      <w:r w:rsidRPr="008337A7">
        <w:rPr>
          <w:rStyle w:val="EndnoteReference"/>
          <w:rFonts w:cs="Arial"/>
          <w:sz w:val="20"/>
          <w:szCs w:val="20"/>
        </w:rPr>
        <w:endnoteRef/>
      </w:r>
      <w:r w:rsidRPr="008337A7">
        <w:rPr>
          <w:rFonts w:cs="Arial"/>
          <w:sz w:val="20"/>
          <w:szCs w:val="20"/>
        </w:rPr>
        <w:t xml:space="preserve"> </w:t>
      </w:r>
      <w:proofErr w:type="spellStart"/>
      <w:r w:rsidRPr="008337A7">
        <w:rPr>
          <w:rFonts w:cs="Arial"/>
          <w:sz w:val="20"/>
          <w:szCs w:val="20"/>
        </w:rPr>
        <w:t>Tarzia</w:t>
      </w:r>
      <w:proofErr w:type="spellEnd"/>
      <w:r w:rsidRPr="008337A7">
        <w:rPr>
          <w:rFonts w:cs="Arial"/>
          <w:sz w:val="20"/>
          <w:szCs w:val="20"/>
        </w:rPr>
        <w:t xml:space="preserve">, L. (2018) “How can we improve the health systems response to reproductive coercion in </w:t>
      </w:r>
      <w:proofErr w:type="spellStart"/>
      <w:r w:rsidRPr="008337A7">
        <w:rPr>
          <w:rFonts w:cs="Arial"/>
          <w:sz w:val="20"/>
          <w:szCs w:val="20"/>
        </w:rPr>
        <w:t>theAustralian</w:t>
      </w:r>
      <w:proofErr w:type="spellEnd"/>
      <w:r w:rsidRPr="008337A7">
        <w:rPr>
          <w:rFonts w:cs="Arial"/>
          <w:sz w:val="20"/>
          <w:szCs w:val="20"/>
        </w:rPr>
        <w:t xml:space="preserve"> </w:t>
      </w:r>
      <w:proofErr w:type="gramStart"/>
      <w:r w:rsidRPr="008337A7">
        <w:rPr>
          <w:rFonts w:cs="Arial"/>
          <w:sz w:val="20"/>
          <w:szCs w:val="20"/>
        </w:rPr>
        <w:t>context?:</w:t>
      </w:r>
      <w:proofErr w:type="gramEnd"/>
      <w:r w:rsidRPr="008337A7">
        <w:rPr>
          <w:rFonts w:cs="Arial"/>
          <w:sz w:val="20"/>
          <w:szCs w:val="20"/>
        </w:rPr>
        <w:t xml:space="preserve"> Safer Families Centre of Research Excellence Discussion Paper #1” </w:t>
      </w:r>
      <w:r w:rsidRPr="008337A7">
        <w:rPr>
          <w:rFonts w:cs="Arial"/>
          <w:i/>
          <w:iCs/>
          <w:sz w:val="20"/>
          <w:szCs w:val="20"/>
        </w:rPr>
        <w:t xml:space="preserve">Safer Families. </w:t>
      </w:r>
      <w:r w:rsidRPr="008337A7">
        <w:rPr>
          <w:rFonts w:cs="Arial"/>
          <w:sz w:val="20"/>
          <w:szCs w:val="20"/>
        </w:rPr>
        <w:t xml:space="preserve">Centre of Research Excellence Discussion Paper Series, Available from: </w:t>
      </w:r>
      <w:hyperlink r:id="rId1" w:history="1">
        <w:r w:rsidRPr="008337A7">
          <w:rPr>
            <w:rStyle w:val="Hyperlink"/>
            <w:rFonts w:cs="Arial"/>
            <w:sz w:val="20"/>
            <w:szCs w:val="20"/>
          </w:rPr>
          <w:t>https://www.saferfamilies.org.au/discuss/</w:t>
        </w:r>
      </w:hyperlink>
    </w:p>
  </w:endnote>
  <w:endnote w:id="5">
    <w:p w14:paraId="0A82821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Meyer S. After a deadly month for domestic violence, the message </w:t>
      </w:r>
      <w:proofErr w:type="gramStart"/>
      <w:r w:rsidRPr="008337A7">
        <w:rPr>
          <w:rFonts w:cs="Arial"/>
        </w:rPr>
        <w:t>doesn’t</w:t>
      </w:r>
      <w:proofErr w:type="gramEnd"/>
      <w:r w:rsidRPr="008337A7">
        <w:rPr>
          <w:rFonts w:cs="Arial"/>
        </w:rPr>
        <w:t xml:space="preserve"> appear to be getting through. The Conversation, 1 Nov 2018 </w:t>
      </w:r>
      <w:hyperlink r:id="rId2" w:history="1">
        <w:r w:rsidRPr="008337A7">
          <w:rPr>
            <w:rStyle w:val="Hyperlink"/>
            <w:rFonts w:cs="Arial"/>
          </w:rPr>
          <w:t>https://theconversation.com/after-a-deadly-month-for-domestic-violence-the-message-doesnt-appear-to-be-getting-through-105568</w:t>
        </w:r>
      </w:hyperlink>
    </w:p>
  </w:endnote>
  <w:endnote w:id="6">
    <w:p w14:paraId="4BC5B8D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Phillips SJ, Bennett AH, Hacker MR, Gold M, Reproductive coercion: an under-recognized challenge for primary care patients, Family Practice, 2016, Vol. 33, No. 3, 286–289 doi:10.1093/</w:t>
      </w:r>
      <w:proofErr w:type="spellStart"/>
      <w:r w:rsidRPr="008337A7">
        <w:rPr>
          <w:rFonts w:cs="Arial"/>
        </w:rPr>
        <w:t>fampra</w:t>
      </w:r>
      <w:proofErr w:type="spellEnd"/>
      <w:r w:rsidRPr="008337A7">
        <w:rPr>
          <w:rFonts w:cs="Arial"/>
        </w:rPr>
        <w:t>/cmw020 Advance Access publication 1 April 2016</w:t>
      </w:r>
    </w:p>
  </w:endnote>
  <w:endnote w:id="7">
    <w:p w14:paraId="7B51266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E, Silverman J. Reproductive </w:t>
      </w:r>
      <w:proofErr w:type="gramStart"/>
      <w:r w:rsidRPr="008337A7">
        <w:rPr>
          <w:rFonts w:cs="Arial"/>
        </w:rPr>
        <w:t>coercion</w:t>
      </w:r>
      <w:proofErr w:type="gramEnd"/>
      <w:r w:rsidRPr="008337A7">
        <w:rPr>
          <w:rFonts w:cs="Arial"/>
        </w:rPr>
        <w:t xml:space="preserve"> and partner violence: implications for clinical assessment of unintended pregnancy, Expert Rev </w:t>
      </w:r>
      <w:proofErr w:type="spellStart"/>
      <w:r w:rsidRPr="008337A7">
        <w:rPr>
          <w:rFonts w:cs="Arial"/>
        </w:rPr>
        <w:t>Obstet</w:t>
      </w:r>
      <w:proofErr w:type="spellEnd"/>
      <w:r w:rsidRPr="008337A7">
        <w:rPr>
          <w:rFonts w:cs="Arial"/>
        </w:rPr>
        <w:t xml:space="preserve"> Gynecol. 2010 Sep; 5(5): 511–515. </w:t>
      </w:r>
    </w:p>
  </w:endnote>
  <w:endnote w:id="8">
    <w:p w14:paraId="733B723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Tarzia</w:t>
      </w:r>
      <w:proofErr w:type="spellEnd"/>
      <w:r w:rsidRPr="008337A7">
        <w:rPr>
          <w:rFonts w:cs="Arial"/>
        </w:rPr>
        <w:t xml:space="preserve"> L. What is Reproductive Coercion? The Conversation 2 July 2018 This article highlights the work that has been undertaken in Australia and North America on the issue. </w:t>
      </w:r>
    </w:p>
  </w:endnote>
  <w:endnote w:id="9">
    <w:p w14:paraId="4A99B3B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KT, Anderson JC, Reproductive Coercion: A Systemic Review, Trauma, Violence and Abuse 2018, Vol. 19(4) 371-390</w:t>
      </w:r>
    </w:p>
  </w:endnote>
  <w:endnote w:id="10">
    <w:p w14:paraId="059090E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Anderson 2018</w:t>
      </w:r>
    </w:p>
  </w:endnote>
  <w:endnote w:id="11">
    <w:p w14:paraId="04A7D160" w14:textId="4D89E83C" w:rsidR="00D76477" w:rsidRDefault="00D76477" w:rsidP="00FD1B87">
      <w:pPr>
        <w:pStyle w:val="EndnoteText"/>
        <w:rPr>
          <w:lang w:val="en-US"/>
        </w:rPr>
      </w:pPr>
      <w:r>
        <w:rPr>
          <w:rStyle w:val="EndnoteReference"/>
        </w:rPr>
        <w:endnoteRef/>
      </w:r>
      <w:r>
        <w:t xml:space="preserve"> </w:t>
      </w:r>
      <w:r>
        <w:rPr>
          <w:lang w:val="en-US"/>
        </w:rPr>
        <w:t>Our Watch, Change the Story: National Framework for the prevention of violence against women and their children, 2015.</w:t>
      </w:r>
    </w:p>
    <w:p w14:paraId="2D2518B9" w14:textId="71725E97" w:rsidR="00D76477" w:rsidRPr="00BE4A29" w:rsidRDefault="00D76477">
      <w:pPr>
        <w:pStyle w:val="EndnoteText"/>
        <w:rPr>
          <w:lang w:val="en-US"/>
        </w:rPr>
      </w:pPr>
      <w:r w:rsidRPr="00600A3E">
        <w:rPr>
          <w:lang w:val="en-US"/>
        </w:rPr>
        <w:t xml:space="preserve">United Nations </w:t>
      </w:r>
      <w:r w:rsidRPr="00BE4A29">
        <w:rPr>
          <w:rFonts w:cs="Arial"/>
        </w:rPr>
        <w:t>Declaration on the Elimination of Violence against Women, Proclaimed by General Assembly resolution 48/104 of 20 December 1993.</w:t>
      </w:r>
    </w:p>
  </w:endnote>
  <w:endnote w:id="12">
    <w:p w14:paraId="3710A29D" w14:textId="4FCCAA24" w:rsidR="00D76477" w:rsidRDefault="00D76477">
      <w:pPr>
        <w:pStyle w:val="EndnoteText"/>
        <w:rPr>
          <w:lang w:val="en-US"/>
        </w:rPr>
      </w:pPr>
      <w:r>
        <w:rPr>
          <w:rStyle w:val="EndnoteReference"/>
        </w:rPr>
        <w:endnoteRef/>
      </w:r>
      <w:r>
        <w:t xml:space="preserve"> </w:t>
      </w:r>
      <w:r>
        <w:rPr>
          <w:lang w:val="en-US"/>
        </w:rPr>
        <w:t>The Australian Government National Plan to Reduce Violence Against Women and Their Children (2010-2022).</w:t>
      </w:r>
    </w:p>
    <w:p w14:paraId="0945D5FF" w14:textId="0BD1AC44" w:rsidR="00D76477" w:rsidRPr="00BE4A29" w:rsidRDefault="00D76477">
      <w:pPr>
        <w:pStyle w:val="EndnoteText"/>
        <w:rPr>
          <w:lang w:val="en-US"/>
        </w:rPr>
      </w:pPr>
      <w:r>
        <w:rPr>
          <w:lang w:val="en-US"/>
        </w:rPr>
        <w:t xml:space="preserve">World Health </w:t>
      </w:r>
      <w:proofErr w:type="spellStart"/>
      <w:r>
        <w:rPr>
          <w:lang w:val="en-US"/>
        </w:rPr>
        <w:t>Organisation</w:t>
      </w:r>
      <w:proofErr w:type="spellEnd"/>
      <w:r>
        <w:rPr>
          <w:lang w:val="en-US"/>
        </w:rPr>
        <w:t xml:space="preserve">, ‘Violence Against Women’ viewed on 18 November 2020 at </w:t>
      </w:r>
      <w:hyperlink r:id="rId3" w:anchor="tab=tab_1" w:history="1">
        <w:r w:rsidRPr="00D601BA">
          <w:rPr>
            <w:rStyle w:val="Hyperlink"/>
            <w:lang w:val="en-US"/>
          </w:rPr>
          <w:t>https://www.who.int/health-topics/violence-against-women#tab=tab_1</w:t>
        </w:r>
      </w:hyperlink>
      <w:r>
        <w:rPr>
          <w:lang w:val="en-US"/>
        </w:rPr>
        <w:t xml:space="preserve">. </w:t>
      </w:r>
    </w:p>
  </w:endnote>
  <w:endnote w:id="13">
    <w:p w14:paraId="1613DFD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Starrs</w:t>
      </w:r>
      <w:proofErr w:type="spellEnd"/>
      <w:r w:rsidRPr="008337A7">
        <w:rPr>
          <w:rFonts w:cs="Arial"/>
        </w:rPr>
        <w:t xml:space="preserve"> AM, </w:t>
      </w:r>
      <w:proofErr w:type="spellStart"/>
      <w:r w:rsidRPr="008337A7">
        <w:rPr>
          <w:rFonts w:cs="Arial"/>
        </w:rPr>
        <w:t>Ezeh</w:t>
      </w:r>
      <w:proofErr w:type="spellEnd"/>
      <w:r w:rsidRPr="008337A7">
        <w:rPr>
          <w:rFonts w:cs="Arial"/>
        </w:rPr>
        <w:t xml:space="preserve"> AC, Barker G et al., Accelerate progress—sexual and reproductive health and rights for all: report of the Guttmacher–Lancet Commission, The Lancet, 2018</w:t>
      </w:r>
    </w:p>
  </w:endnote>
  <w:endnote w:id="14">
    <w:p w14:paraId="137DE5A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Anderson 2018</w:t>
      </w:r>
    </w:p>
  </w:endnote>
  <w:endnote w:id="15">
    <w:p w14:paraId="5FDF6518" w14:textId="77777777" w:rsidR="00D76477" w:rsidRPr="008337A7" w:rsidRDefault="00D76477" w:rsidP="00BE4A29">
      <w:pPr>
        <w:spacing w:line="240" w:lineRule="auto"/>
        <w:rPr>
          <w:rFonts w:cs="Arial"/>
          <w:sz w:val="20"/>
          <w:szCs w:val="20"/>
        </w:rPr>
      </w:pPr>
      <w:r w:rsidRPr="008337A7">
        <w:rPr>
          <w:rStyle w:val="EndnoteReference"/>
          <w:rFonts w:cs="Arial"/>
          <w:sz w:val="20"/>
          <w:szCs w:val="20"/>
        </w:rPr>
        <w:endnoteRef/>
      </w:r>
      <w:r w:rsidRPr="008337A7">
        <w:rPr>
          <w:rFonts w:cs="Arial"/>
          <w:sz w:val="20"/>
          <w:szCs w:val="20"/>
        </w:rPr>
        <w:t xml:space="preserve"> </w:t>
      </w:r>
      <w:proofErr w:type="spellStart"/>
      <w:r w:rsidRPr="008337A7">
        <w:rPr>
          <w:rFonts w:cs="Arial"/>
          <w:sz w:val="20"/>
          <w:szCs w:val="20"/>
        </w:rPr>
        <w:t>Tarzia</w:t>
      </w:r>
      <w:proofErr w:type="spellEnd"/>
      <w:r w:rsidRPr="008337A7">
        <w:rPr>
          <w:rFonts w:cs="Arial"/>
          <w:sz w:val="20"/>
          <w:szCs w:val="20"/>
        </w:rPr>
        <w:t xml:space="preserve">, L. (2018) “How can we improve the health systems response to reproductive coercion in the Australian </w:t>
      </w:r>
      <w:proofErr w:type="gramStart"/>
      <w:r w:rsidRPr="008337A7">
        <w:rPr>
          <w:rFonts w:cs="Arial"/>
          <w:sz w:val="20"/>
          <w:szCs w:val="20"/>
        </w:rPr>
        <w:t>context?:</w:t>
      </w:r>
      <w:proofErr w:type="gramEnd"/>
      <w:r w:rsidRPr="008337A7">
        <w:rPr>
          <w:rFonts w:cs="Arial"/>
          <w:sz w:val="20"/>
          <w:szCs w:val="20"/>
        </w:rPr>
        <w:t xml:space="preserve"> Safer Families Centre of Research Excellence Discussion Paper #1” </w:t>
      </w:r>
      <w:r w:rsidRPr="008337A7">
        <w:rPr>
          <w:rFonts w:cs="Arial"/>
          <w:i/>
          <w:iCs/>
          <w:sz w:val="20"/>
          <w:szCs w:val="20"/>
        </w:rPr>
        <w:t xml:space="preserve">Safer Families. </w:t>
      </w:r>
      <w:r w:rsidRPr="008337A7">
        <w:rPr>
          <w:rFonts w:cs="Arial"/>
          <w:sz w:val="20"/>
          <w:szCs w:val="20"/>
        </w:rPr>
        <w:t xml:space="preserve">Centre of Research Excellence Discussion Paper Series, Available from: </w:t>
      </w:r>
      <w:hyperlink r:id="rId4" w:history="1">
        <w:r w:rsidRPr="008337A7">
          <w:rPr>
            <w:rStyle w:val="Hyperlink"/>
            <w:rFonts w:cs="Arial"/>
            <w:sz w:val="20"/>
            <w:szCs w:val="20"/>
          </w:rPr>
          <w:t>https://www.saferfamilies.org.au/discuss/</w:t>
        </w:r>
      </w:hyperlink>
    </w:p>
  </w:endnote>
  <w:endnote w:id="16">
    <w:p w14:paraId="1836437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Meyer S. After a deadly month for domestic violence, the message </w:t>
      </w:r>
      <w:proofErr w:type="gramStart"/>
      <w:r w:rsidRPr="008337A7">
        <w:rPr>
          <w:rFonts w:cs="Arial"/>
        </w:rPr>
        <w:t>doesn’t</w:t>
      </w:r>
      <w:proofErr w:type="gramEnd"/>
      <w:r w:rsidRPr="008337A7">
        <w:rPr>
          <w:rFonts w:cs="Arial"/>
        </w:rPr>
        <w:t xml:space="preserve"> appear to be getting through. The Conversation, 1 Nov 2018 </w:t>
      </w:r>
      <w:hyperlink r:id="rId5" w:history="1">
        <w:r w:rsidRPr="008337A7">
          <w:rPr>
            <w:rStyle w:val="Hyperlink"/>
            <w:rFonts w:cs="Arial"/>
          </w:rPr>
          <w:t>https://theconversation.com/after-a-deadly-month-for-domestic-violence-the-message-doesnt-appear-to-be-getting-through-105568</w:t>
        </w:r>
      </w:hyperlink>
      <w:r w:rsidRPr="008337A7">
        <w:rPr>
          <w:rFonts w:cs="Arial"/>
        </w:rPr>
        <w:t xml:space="preserve"> </w:t>
      </w:r>
    </w:p>
  </w:endnote>
  <w:endnote w:id="17">
    <w:p w14:paraId="74C77F8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Royal Commission into Family Violence was established on 22 February 2015 to, among other things make recommendations about the best approach to address the issue. The Royal Commission released its findings report on 29 March 2016. The Victorian Government subsequently accepted </w:t>
      </w:r>
      <w:proofErr w:type="gramStart"/>
      <w:r w:rsidRPr="008337A7">
        <w:rPr>
          <w:rFonts w:cs="Arial"/>
        </w:rPr>
        <w:t>all of</w:t>
      </w:r>
      <w:proofErr w:type="gramEnd"/>
      <w:r w:rsidRPr="008337A7">
        <w:rPr>
          <w:rFonts w:cs="Arial"/>
        </w:rPr>
        <w:t xml:space="preserve"> its 227 recommendations.</w:t>
      </w:r>
    </w:p>
  </w:endnote>
  <w:endnote w:id="18">
    <w:p w14:paraId="1ADE1BD9" w14:textId="50C50ED0"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Starrs</w:t>
      </w:r>
      <w:proofErr w:type="spellEnd"/>
      <w:r w:rsidRPr="008337A7">
        <w:rPr>
          <w:rFonts w:cs="Arial"/>
        </w:rPr>
        <w:t xml:space="preserve"> AM, </w:t>
      </w:r>
      <w:proofErr w:type="spellStart"/>
      <w:r w:rsidRPr="008337A7">
        <w:rPr>
          <w:rFonts w:cs="Arial"/>
        </w:rPr>
        <w:t>Ezeh</w:t>
      </w:r>
      <w:proofErr w:type="spellEnd"/>
      <w:r w:rsidRPr="008337A7">
        <w:rPr>
          <w:rFonts w:cs="Arial"/>
        </w:rPr>
        <w:t xml:space="preserve"> AC, Barker G et al., Accelerate progress—sexual and reproductive health and rights for all: report of the Guttmacher–Lancet Commission, The Lancet, 2018.</w:t>
      </w:r>
    </w:p>
  </w:endnote>
  <w:endnote w:id="19">
    <w:p w14:paraId="55DF2281" w14:textId="32D62CA3" w:rsidR="00D76477" w:rsidRPr="00B56730" w:rsidRDefault="00D76477" w:rsidP="00BE4A29">
      <w:pPr>
        <w:pStyle w:val="EndnoteText"/>
        <w:spacing w:after="120"/>
        <w:rPr>
          <w:rFonts w:cs="Arial"/>
        </w:rPr>
      </w:pPr>
      <w:r w:rsidRPr="008337A7">
        <w:rPr>
          <w:rStyle w:val="EndnoteReference"/>
          <w:rFonts w:cs="Arial"/>
        </w:rPr>
        <w:endnoteRef/>
      </w:r>
      <w:r w:rsidRPr="008337A7">
        <w:rPr>
          <w:rFonts w:cs="Arial"/>
        </w:rPr>
        <w:t xml:space="preserve"> A number of </w:t>
      </w:r>
      <w:proofErr w:type="gramStart"/>
      <w:r w:rsidRPr="008337A7">
        <w:rPr>
          <w:rFonts w:cs="Arial"/>
        </w:rPr>
        <w:t>submission</w:t>
      </w:r>
      <w:proofErr w:type="gramEnd"/>
      <w:r w:rsidRPr="008337A7">
        <w:rPr>
          <w:rFonts w:cs="Arial"/>
        </w:rPr>
        <w:t xml:space="preserve"> raised the issue that reproductive coercion </w:t>
      </w:r>
      <w:r w:rsidRPr="00B56730">
        <w:rPr>
          <w:rFonts w:cs="Arial"/>
        </w:rPr>
        <w:t>can be driven by and experienced by people from differing backgrounds, cultures and varied relationships.</w:t>
      </w:r>
    </w:p>
  </w:endnote>
  <w:endnote w:id="20">
    <w:p w14:paraId="6C3BA46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Verbal submissions of experiences of reproductive coercion</w:t>
      </w:r>
    </w:p>
  </w:endnote>
  <w:endnote w:id="21">
    <w:p w14:paraId="471FC33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KT, Anderson JC, Reproductive Coercion: A Systemic Review, Trauma, Violence and Abuse 2018, Vol. 19(4) 371-390</w:t>
      </w:r>
    </w:p>
  </w:endnote>
  <w:endnote w:id="22">
    <w:p w14:paraId="2890D1C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Anderson 2018</w:t>
      </w:r>
    </w:p>
  </w:endnote>
  <w:endnote w:id="23">
    <w:p w14:paraId="56CB722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Braveman</w:t>
      </w:r>
      <w:proofErr w:type="spellEnd"/>
      <w:r w:rsidRPr="008337A7">
        <w:rPr>
          <w:rFonts w:cs="Arial"/>
        </w:rPr>
        <w:t xml:space="preserve"> P, Gottlieb L. The Social Determinants of Health: </w:t>
      </w:r>
      <w:proofErr w:type="gramStart"/>
      <w:r w:rsidRPr="008337A7">
        <w:rPr>
          <w:rFonts w:cs="Arial"/>
        </w:rPr>
        <w:t>It’s</w:t>
      </w:r>
      <w:proofErr w:type="gramEnd"/>
      <w:r w:rsidRPr="008337A7">
        <w:rPr>
          <w:rFonts w:cs="Arial"/>
        </w:rPr>
        <w:t xml:space="preserve"> Time to Consider the Causes of the Causes. Public Health Reports. 2014;129 (Suppl 2):19-31.</w:t>
      </w:r>
    </w:p>
  </w:endnote>
  <w:endnote w:id="24">
    <w:p w14:paraId="55E69C2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Our Watch, Australia’s National Research Organisation for Women’s Safety (ANROWS) and VicHealth (2015)</w:t>
      </w:r>
    </w:p>
    <w:p w14:paraId="0B026708" w14:textId="77777777" w:rsidR="00D76477" w:rsidRPr="008337A7" w:rsidRDefault="00D76477" w:rsidP="00BE4A29">
      <w:pPr>
        <w:pStyle w:val="EndnoteText"/>
        <w:spacing w:after="120"/>
        <w:rPr>
          <w:rFonts w:cs="Arial"/>
        </w:rPr>
      </w:pPr>
      <w:r w:rsidRPr="008337A7">
        <w:rPr>
          <w:rFonts w:cs="Arial"/>
        </w:rPr>
        <w:t>Change the story: A shared framework for the primary prevention of violence against women and their children in Australia, Our Watch, Melbourne, Australia</w:t>
      </w:r>
    </w:p>
  </w:endnote>
  <w:endnote w:id="25">
    <w:p w14:paraId="76375AF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Our Watch, Australia’s National Research Organisation for Women’s Safety (ANROWS) and VicHealth (2015), Change the story: A shared framework for the primary prevention of violence against women and their children in Australia, Our Watch, Melbourne, Australia.</w:t>
      </w:r>
    </w:p>
  </w:endnote>
  <w:endnote w:id="26">
    <w:p w14:paraId="44A9DDB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model has been drawn on the work of Dr Laura </w:t>
      </w:r>
      <w:proofErr w:type="spellStart"/>
      <w:r w:rsidRPr="008337A7">
        <w:rPr>
          <w:rFonts w:cs="Arial"/>
        </w:rPr>
        <w:t>Tarzia</w:t>
      </w:r>
      <w:proofErr w:type="spellEnd"/>
      <w:r w:rsidRPr="008337A7">
        <w:rPr>
          <w:rFonts w:cs="Arial"/>
        </w:rPr>
        <w:t xml:space="preserve"> and, to a lesser degree Dr Louise Harms’ Multi-dimensional Approach.</w:t>
      </w:r>
    </w:p>
  </w:endnote>
  <w:endnote w:id="27">
    <w:p w14:paraId="43ABBEF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Reproductive coercion: uncloaking an imbalance of social power, Park, Jeanne et al. American Journal of Obstetrics &amp; </w:t>
      </w:r>
      <w:proofErr w:type="gramStart"/>
      <w:r w:rsidRPr="008337A7">
        <w:rPr>
          <w:rFonts w:cs="Arial"/>
        </w:rPr>
        <w:t>Gynaecology ,</w:t>
      </w:r>
      <w:proofErr w:type="gramEnd"/>
      <w:r w:rsidRPr="008337A7">
        <w:rPr>
          <w:rFonts w:cs="Arial"/>
        </w:rPr>
        <w:t xml:space="preserve"> Volume 214 , Issue 1 , 74 – 78</w:t>
      </w:r>
    </w:p>
  </w:endnote>
  <w:endnote w:id="28">
    <w:p w14:paraId="2ECA3C3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Centres for Disease Control and Prevention. Adverse health conditions and health risk behaviours associated with intimate partner violence—United States, 2005. MMWR Mob Mortal Wily Rep </w:t>
      </w:r>
      <w:proofErr w:type="gramStart"/>
      <w:r w:rsidRPr="008337A7">
        <w:rPr>
          <w:rFonts w:cs="Arial"/>
        </w:rPr>
        <w:t>2008;57:113</w:t>
      </w:r>
      <w:proofErr w:type="gramEnd"/>
      <w:r w:rsidRPr="008337A7">
        <w:rPr>
          <w:rFonts w:cs="Arial"/>
        </w:rPr>
        <w:t>-7.</w:t>
      </w:r>
    </w:p>
  </w:endnote>
  <w:endnote w:id="29">
    <w:p w14:paraId="1F74B0B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Toivonen</w:t>
      </w:r>
      <w:proofErr w:type="spellEnd"/>
      <w:r w:rsidRPr="008337A7">
        <w:rPr>
          <w:rFonts w:cs="Arial"/>
        </w:rPr>
        <w:t xml:space="preserve"> C, Backhouse C. (2018). National Risk Assessment Principles for Domestic and Family Violence (ANROWS Insights 07/2018). Sydney, </w:t>
      </w:r>
      <w:proofErr w:type="gramStart"/>
      <w:r w:rsidRPr="008337A7">
        <w:rPr>
          <w:rFonts w:cs="Arial"/>
        </w:rPr>
        <w:t>NSW :</w:t>
      </w:r>
      <w:proofErr w:type="gramEnd"/>
      <w:r w:rsidRPr="008337A7">
        <w:rPr>
          <w:rFonts w:cs="Arial"/>
        </w:rPr>
        <w:t xml:space="preserve"> ANROWS</w:t>
      </w:r>
    </w:p>
  </w:endnote>
  <w:endnote w:id="30">
    <w:p w14:paraId="5AAC592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Kerr K. (2018, May). Violence Does Not Stop </w:t>
      </w:r>
      <w:proofErr w:type="gramStart"/>
      <w:r w:rsidRPr="008337A7">
        <w:rPr>
          <w:rFonts w:cs="Arial"/>
        </w:rPr>
        <w:t>At</w:t>
      </w:r>
      <w:proofErr w:type="gramEnd"/>
      <w:r w:rsidRPr="008337A7">
        <w:rPr>
          <w:rFonts w:cs="Arial"/>
        </w:rPr>
        <w:t xml:space="preserve"> the Bedroom Door: Intimate Partner Violence and Other Reproductive Coercion. </w:t>
      </w:r>
      <w:proofErr w:type="spellStart"/>
      <w:r w:rsidRPr="008337A7">
        <w:rPr>
          <w:rFonts w:cs="Arial"/>
        </w:rPr>
        <w:t>Powerpoint</w:t>
      </w:r>
      <w:proofErr w:type="spellEnd"/>
      <w:r w:rsidRPr="008337A7">
        <w:rPr>
          <w:rFonts w:cs="Arial"/>
        </w:rPr>
        <w:t xml:space="preserve"> presentation at the ANROWS 2</w:t>
      </w:r>
      <w:r w:rsidRPr="008337A7">
        <w:rPr>
          <w:rFonts w:cs="Arial"/>
          <w:vertAlign w:val="superscript"/>
        </w:rPr>
        <w:t>nd</w:t>
      </w:r>
      <w:r w:rsidRPr="008337A7">
        <w:rPr>
          <w:rFonts w:cs="Arial"/>
        </w:rPr>
        <w:t xml:space="preserve"> National Research Conference on Violence Against Women and their Children. Sydney</w:t>
      </w:r>
    </w:p>
  </w:endnote>
  <w:endnote w:id="31">
    <w:p w14:paraId="20E55D5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Submissions from Australia’s National Research Organisation for Women’s Safety (ANROWS) and University of Melbourne’s Safer Families Centre of Research Excellence highlighted planned research in this area. </w:t>
      </w:r>
    </w:p>
  </w:endnote>
  <w:endnote w:id="32">
    <w:p w14:paraId="1A3A146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CASA House website, Accessed 1 October 2018: </w:t>
      </w:r>
      <w:hyperlink r:id="rId6" w:history="1">
        <w:r w:rsidRPr="008337A7">
          <w:rPr>
            <w:rStyle w:val="Hyperlink"/>
            <w:rFonts w:cs="Arial"/>
          </w:rPr>
          <w:t>http://www.casahouse.com.au/index.php?page_id=156</w:t>
        </w:r>
      </w:hyperlink>
    </w:p>
  </w:endnote>
  <w:endnote w:id="33">
    <w:p w14:paraId="412E097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Reproductive and Sexual Coercion. Committee Opinion No. 554. American College of Obstetricians and </w:t>
      </w:r>
      <w:proofErr w:type="spellStart"/>
      <w:r w:rsidRPr="008337A7">
        <w:rPr>
          <w:rFonts w:cs="Arial"/>
        </w:rPr>
        <w:t>Gynecologists</w:t>
      </w:r>
      <w:proofErr w:type="spellEnd"/>
      <w:r w:rsidRPr="008337A7">
        <w:rPr>
          <w:rFonts w:cs="Arial"/>
        </w:rPr>
        <w:t xml:space="preserve">. </w:t>
      </w:r>
      <w:proofErr w:type="spellStart"/>
      <w:r w:rsidRPr="008337A7">
        <w:rPr>
          <w:rFonts w:cs="Arial"/>
        </w:rPr>
        <w:t>Obstet</w:t>
      </w:r>
      <w:proofErr w:type="spellEnd"/>
      <w:r w:rsidRPr="008337A7">
        <w:rPr>
          <w:rFonts w:cs="Arial"/>
        </w:rPr>
        <w:t xml:space="preserve"> </w:t>
      </w:r>
      <w:proofErr w:type="spellStart"/>
      <w:r w:rsidRPr="008337A7">
        <w:rPr>
          <w:rFonts w:cs="Arial"/>
        </w:rPr>
        <w:t>Gynecol</w:t>
      </w:r>
      <w:proofErr w:type="spellEnd"/>
      <w:r w:rsidRPr="008337A7">
        <w:rPr>
          <w:rFonts w:cs="Arial"/>
        </w:rPr>
        <w:t xml:space="preserve"> </w:t>
      </w:r>
      <w:proofErr w:type="gramStart"/>
      <w:r w:rsidRPr="008337A7">
        <w:rPr>
          <w:rFonts w:cs="Arial"/>
        </w:rPr>
        <w:t>2013;121:411</w:t>
      </w:r>
      <w:proofErr w:type="gramEnd"/>
      <w:r w:rsidRPr="008337A7">
        <w:rPr>
          <w:rFonts w:cs="Arial"/>
        </w:rPr>
        <w:t>–5.</w:t>
      </w:r>
    </w:p>
  </w:endnote>
  <w:endnote w:id="34">
    <w:p w14:paraId="1E2ED83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Anderson 2018</w:t>
      </w:r>
    </w:p>
  </w:endnote>
  <w:endnote w:id="35">
    <w:p w14:paraId="0629FE6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Cisgender is a term used to describe a person whose gender corresponds to the sex they were assigned at birth. This definition is taken from the Australian Institute of Family and Family Studies LGBTIQ+ Glossary of common terms (https://aifs.gov.au/cfca/publications/lgbtiq-communities)</w:t>
      </w:r>
    </w:p>
  </w:endnote>
  <w:endnote w:id="36">
    <w:p w14:paraId="1411FE1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McCauley HL, et al. Sexual and reproductive health indicators and intimate partner violence victimization among female family planning clinic patients who have sex with women and men. J </w:t>
      </w:r>
      <w:proofErr w:type="spellStart"/>
      <w:r w:rsidRPr="008337A7">
        <w:rPr>
          <w:rFonts w:cs="Arial"/>
        </w:rPr>
        <w:t>Womens</w:t>
      </w:r>
      <w:proofErr w:type="spellEnd"/>
      <w:r w:rsidRPr="008337A7">
        <w:rPr>
          <w:rFonts w:cs="Arial"/>
        </w:rPr>
        <w:t xml:space="preserve"> Health (</w:t>
      </w:r>
      <w:proofErr w:type="spellStart"/>
      <w:r w:rsidRPr="008337A7">
        <w:rPr>
          <w:rFonts w:cs="Arial"/>
        </w:rPr>
        <w:t>Larchmt</w:t>
      </w:r>
      <w:proofErr w:type="spellEnd"/>
      <w:r w:rsidRPr="008337A7">
        <w:rPr>
          <w:rFonts w:cs="Arial"/>
        </w:rPr>
        <w:t>). 2015;24(8):621–8.</w:t>
      </w:r>
    </w:p>
  </w:endnote>
  <w:endnote w:id="37">
    <w:p w14:paraId="114D096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Park, Jeanne et al 2014</w:t>
      </w:r>
    </w:p>
  </w:endnote>
  <w:endnote w:id="38">
    <w:p w14:paraId="536D85F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Australian Institute of Health and Welfare 2018. Family, </w:t>
      </w:r>
      <w:proofErr w:type="gramStart"/>
      <w:r w:rsidRPr="008337A7">
        <w:rPr>
          <w:rFonts w:cs="Arial"/>
        </w:rPr>
        <w:t>domestic</w:t>
      </w:r>
      <w:proofErr w:type="gramEnd"/>
      <w:r w:rsidRPr="008337A7">
        <w:rPr>
          <w:rFonts w:cs="Arial"/>
        </w:rPr>
        <w:t xml:space="preserve"> and sexual violence in Australia 2018.</w:t>
      </w:r>
    </w:p>
    <w:p w14:paraId="2BB9F3C8" w14:textId="77777777" w:rsidR="00D76477" w:rsidRPr="008337A7" w:rsidRDefault="00D76477" w:rsidP="00BE4A29">
      <w:pPr>
        <w:pStyle w:val="EndnoteText"/>
        <w:spacing w:after="120"/>
        <w:rPr>
          <w:rFonts w:cs="Arial"/>
        </w:rPr>
      </w:pPr>
      <w:r w:rsidRPr="008337A7">
        <w:rPr>
          <w:rFonts w:cs="Arial"/>
        </w:rPr>
        <w:t>Cat. no. FDV 2. Canberra: AIHW.</w:t>
      </w:r>
    </w:p>
  </w:endnote>
  <w:endnote w:id="39">
    <w:p w14:paraId="17CA145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Park, Jeanne et al 2014</w:t>
      </w:r>
    </w:p>
  </w:endnote>
  <w:endnote w:id="40">
    <w:p w14:paraId="3E7A97B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11. Black MC, Basile KC, </w:t>
      </w:r>
      <w:proofErr w:type="spellStart"/>
      <w:r w:rsidRPr="008337A7">
        <w:rPr>
          <w:rFonts w:cs="Arial"/>
        </w:rPr>
        <w:t>Breiding</w:t>
      </w:r>
      <w:proofErr w:type="spellEnd"/>
      <w:r w:rsidRPr="008337A7">
        <w:rPr>
          <w:rFonts w:cs="Arial"/>
        </w:rPr>
        <w:t xml:space="preserve"> MJ, et al. The National Intimate Partner and Sexual Violence Survey (NISVS): 2010 Summary Report. Atlanta (GA): National </w:t>
      </w:r>
      <w:proofErr w:type="spellStart"/>
      <w:r w:rsidRPr="008337A7">
        <w:rPr>
          <w:rFonts w:cs="Arial"/>
        </w:rPr>
        <w:t>Center</w:t>
      </w:r>
      <w:proofErr w:type="spellEnd"/>
      <w:r w:rsidRPr="008337A7">
        <w:rPr>
          <w:rFonts w:cs="Arial"/>
        </w:rPr>
        <w:t xml:space="preserve"> for Injury Prevention and Control, Centres for Disease Control and Prevention; 2010.</w:t>
      </w:r>
    </w:p>
  </w:endnote>
  <w:endnote w:id="41">
    <w:p w14:paraId="001BCA23" w14:textId="5D7B3258"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Dr Willie Parker, a US-based abortion provider recounts experiences where he has declined to perform a termination of young women because it is clearly driven by the wishes of the parent as opposed to the </w:t>
      </w:r>
      <w:r>
        <w:t>young person</w:t>
      </w:r>
      <w:r w:rsidRPr="008337A7">
        <w:rPr>
          <w:rFonts w:cs="Arial"/>
        </w:rPr>
        <w:t>. These case studies are discussed in Parker W. Life’s Work. A Moral Argument for Choice. Simon &amp; Schuster, NY. 2017.</w:t>
      </w:r>
    </w:p>
  </w:endnote>
  <w:endnote w:id="42">
    <w:p w14:paraId="4526551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Marie Stopes Australia: Reproductive Coercion White Paper – Children </w:t>
      </w:r>
      <w:proofErr w:type="gramStart"/>
      <w:r w:rsidRPr="008337A7">
        <w:rPr>
          <w:rFonts w:cs="Arial"/>
        </w:rPr>
        <w:t>By</w:t>
      </w:r>
      <w:proofErr w:type="gramEnd"/>
      <w:r w:rsidRPr="008337A7">
        <w:rPr>
          <w:rFonts w:cs="Arial"/>
        </w:rPr>
        <w:t xml:space="preserve"> Choice Submission to Marie Stopes White Paper Development, Feb 2018.</w:t>
      </w:r>
    </w:p>
  </w:endnote>
  <w:endnote w:id="43">
    <w:p w14:paraId="6A9B2BE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E, McCauley HL, </w:t>
      </w:r>
      <w:proofErr w:type="spellStart"/>
      <w:r w:rsidRPr="008337A7">
        <w:rPr>
          <w:rFonts w:cs="Arial"/>
        </w:rPr>
        <w:t>Tancredi</w:t>
      </w:r>
      <w:proofErr w:type="spellEnd"/>
      <w:r w:rsidRPr="008337A7">
        <w:rPr>
          <w:rFonts w:cs="Arial"/>
        </w:rPr>
        <w:t xml:space="preserve"> DJ, Decker MR, Anderson H, Silverman JG. Recent reproductive coercion and unintended pregnancy among female family planning clients. Contraception. </w:t>
      </w:r>
      <w:proofErr w:type="gramStart"/>
      <w:r w:rsidRPr="008337A7">
        <w:rPr>
          <w:rFonts w:cs="Arial"/>
        </w:rPr>
        <w:t>2014;89:122</w:t>
      </w:r>
      <w:proofErr w:type="gramEnd"/>
      <w:r w:rsidRPr="008337A7">
        <w:rPr>
          <w:rFonts w:cs="Arial"/>
        </w:rPr>
        <w:t xml:space="preserve">–8. </w:t>
      </w:r>
    </w:p>
  </w:endnote>
  <w:endnote w:id="44">
    <w:p w14:paraId="5DF0D96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Park, Jeanne et al 2014</w:t>
      </w:r>
    </w:p>
  </w:endnote>
  <w:endnote w:id="45">
    <w:p w14:paraId="7BD1D22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Arabena</w:t>
      </w:r>
      <w:proofErr w:type="spellEnd"/>
      <w:r w:rsidRPr="008337A7">
        <w:rPr>
          <w:rFonts w:cs="Arial"/>
        </w:rPr>
        <w:t xml:space="preserve">, K. Preachers, </w:t>
      </w:r>
      <w:proofErr w:type="gramStart"/>
      <w:r w:rsidRPr="008337A7">
        <w:rPr>
          <w:rFonts w:cs="Arial"/>
        </w:rPr>
        <w:t>policies</w:t>
      </w:r>
      <w:proofErr w:type="gramEnd"/>
      <w:r w:rsidRPr="008337A7">
        <w:rPr>
          <w:rFonts w:cs="Arial"/>
        </w:rPr>
        <w:t xml:space="preserve"> and power: the reproductive health of adolescent Aboriginal and Torres Strait Islander peoples in Australia [online]. Health Promotion Journal of Australia: Official Journal of Australian Association of Health Promotion Professionals, Vol. 17, No. 2, 2006 Aug: 85-90</w:t>
      </w:r>
    </w:p>
  </w:endnote>
  <w:endnote w:id="46">
    <w:p w14:paraId="3B78452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Jupp</w:t>
      </w:r>
      <w:proofErr w:type="spellEnd"/>
      <w:r w:rsidRPr="008337A7">
        <w:rPr>
          <w:rFonts w:cs="Arial"/>
        </w:rPr>
        <w:t xml:space="preserve"> J (ed). The Australian People. An Encyclopaedia of The Nation, Its People and Their Origin. University of Cambridge. UK. 2001 </w:t>
      </w:r>
    </w:p>
  </w:endnote>
  <w:endnote w:id="47">
    <w:p w14:paraId="10012C4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Arabena</w:t>
      </w:r>
      <w:proofErr w:type="spellEnd"/>
      <w:r w:rsidRPr="008337A7">
        <w:rPr>
          <w:rFonts w:cs="Arial"/>
        </w:rPr>
        <w:t xml:space="preserve">, K. </w:t>
      </w:r>
    </w:p>
  </w:endnote>
  <w:endnote w:id="48">
    <w:p w14:paraId="180B799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Our Watch, Reporting on Family Violence in Aboriginal and Torres Strait Islander Communities, September 2014</w:t>
      </w:r>
    </w:p>
  </w:endnote>
  <w:endnote w:id="49">
    <w:p w14:paraId="0B44E76F"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Kildea</w:t>
      </w:r>
      <w:proofErr w:type="spellEnd"/>
      <w:r w:rsidRPr="008337A7">
        <w:rPr>
          <w:rFonts w:cs="Arial"/>
        </w:rPr>
        <w:t xml:space="preserve"> Sue, Hickey Sophie, Nelson Carmel, Currie Jody, Carson Adrian, Reynolds Maree, Wilson Kay, </w:t>
      </w:r>
      <w:proofErr w:type="spellStart"/>
      <w:r w:rsidRPr="008337A7">
        <w:rPr>
          <w:rFonts w:cs="Arial"/>
        </w:rPr>
        <w:t>Kruske</w:t>
      </w:r>
      <w:proofErr w:type="spellEnd"/>
      <w:r w:rsidRPr="008337A7">
        <w:rPr>
          <w:rFonts w:cs="Arial"/>
        </w:rPr>
        <w:t xml:space="preserve"> Sue, </w:t>
      </w:r>
      <w:proofErr w:type="spellStart"/>
      <w:r w:rsidRPr="008337A7">
        <w:rPr>
          <w:rFonts w:cs="Arial"/>
        </w:rPr>
        <w:t>Passey</w:t>
      </w:r>
      <w:proofErr w:type="spellEnd"/>
      <w:r w:rsidRPr="008337A7">
        <w:rPr>
          <w:rFonts w:cs="Arial"/>
        </w:rPr>
        <w:t xml:space="preserve"> Megan, Roe Yvette, West </w:t>
      </w:r>
      <w:proofErr w:type="spellStart"/>
      <w:r w:rsidRPr="008337A7">
        <w:rPr>
          <w:rFonts w:cs="Arial"/>
        </w:rPr>
        <w:t>Roianne</w:t>
      </w:r>
      <w:proofErr w:type="spellEnd"/>
      <w:r w:rsidRPr="008337A7">
        <w:rPr>
          <w:rFonts w:cs="Arial"/>
        </w:rPr>
        <w:t xml:space="preserve">, Clifford Anton, </w:t>
      </w:r>
      <w:proofErr w:type="spellStart"/>
      <w:r w:rsidRPr="008337A7">
        <w:rPr>
          <w:rFonts w:cs="Arial"/>
        </w:rPr>
        <w:t>Kosiak</w:t>
      </w:r>
      <w:proofErr w:type="spellEnd"/>
      <w:r w:rsidRPr="008337A7">
        <w:rPr>
          <w:rFonts w:cs="Arial"/>
        </w:rPr>
        <w:t xml:space="preserve"> </w:t>
      </w:r>
      <w:proofErr w:type="spellStart"/>
      <w:r w:rsidRPr="008337A7">
        <w:rPr>
          <w:rFonts w:cs="Arial"/>
        </w:rPr>
        <w:t>Machellee</w:t>
      </w:r>
      <w:proofErr w:type="spellEnd"/>
      <w:r w:rsidRPr="008337A7">
        <w:rPr>
          <w:rFonts w:cs="Arial"/>
        </w:rPr>
        <w:t xml:space="preserve">, </w:t>
      </w:r>
      <w:proofErr w:type="spellStart"/>
      <w:r w:rsidRPr="008337A7">
        <w:rPr>
          <w:rFonts w:cs="Arial"/>
        </w:rPr>
        <w:t>Watego</w:t>
      </w:r>
      <w:proofErr w:type="spellEnd"/>
      <w:r w:rsidRPr="008337A7">
        <w:rPr>
          <w:rFonts w:cs="Arial"/>
        </w:rPr>
        <w:t xml:space="preserve"> Shannon, Tracy Sally (2017) Birthing on Country (in Our Community): a case study of engaging stakeholders and developing a best-practice Indigenous maternity service in an urban setting. Australian Health Review 42, 230-238.</w:t>
      </w:r>
    </w:p>
  </w:endnote>
  <w:endnote w:id="50">
    <w:p w14:paraId="6D6F42A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Paradies</w:t>
      </w:r>
      <w:proofErr w:type="spellEnd"/>
      <w:r w:rsidRPr="008337A7">
        <w:rPr>
          <w:rFonts w:cs="Arial"/>
        </w:rPr>
        <w:t xml:space="preserve">, Yin C. 2006, Beyond black and white: essentialism, hybridity and indigeneity, Journal of sociology, vol. 42, no. 4, pp. 355-367, </w:t>
      </w:r>
      <w:proofErr w:type="spellStart"/>
      <w:r w:rsidRPr="008337A7">
        <w:rPr>
          <w:rFonts w:cs="Arial"/>
        </w:rPr>
        <w:t>doi</w:t>
      </w:r>
      <w:proofErr w:type="spellEnd"/>
      <w:r w:rsidRPr="008337A7">
        <w:rPr>
          <w:rFonts w:cs="Arial"/>
        </w:rPr>
        <w:t>: 10.1177/1440783306069993.</w:t>
      </w:r>
    </w:p>
  </w:endnote>
  <w:endnote w:id="51">
    <w:p w14:paraId="605DA6E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Holder, Robyn and Putt, Judy and O'Leary, Cath, Advocacy for Safety and Empowerment: A Critical Review of the Literature (August 10, 2015). ANROWS Landscapes State of Knowledge, August 2015. Available at SSRN: https://ssrn.com/abstract=2701689</w:t>
      </w:r>
    </w:p>
  </w:endnote>
  <w:endnote w:id="52">
    <w:p w14:paraId="03D91E2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David Hollinsworth (2013) Forget Cultural Competence; Ask for an Autobiography, Social Work Education, 32:8, 1048-1060, DOI: 10.1080/02615479.2012.730513</w:t>
      </w:r>
    </w:p>
  </w:endnote>
  <w:endnote w:id="53">
    <w:p w14:paraId="3B675C8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Vaughan, C., Davis, E., </w:t>
      </w:r>
      <w:proofErr w:type="spellStart"/>
      <w:r w:rsidRPr="008337A7">
        <w:rPr>
          <w:rFonts w:cs="Arial"/>
        </w:rPr>
        <w:t>Murdolo</w:t>
      </w:r>
      <w:proofErr w:type="spellEnd"/>
      <w:r w:rsidRPr="008337A7">
        <w:rPr>
          <w:rFonts w:cs="Arial"/>
        </w:rPr>
        <w:t xml:space="preserve">, A., Chen, J., Murray, L., Block, K., </w:t>
      </w:r>
      <w:proofErr w:type="spellStart"/>
      <w:r w:rsidRPr="008337A7">
        <w:rPr>
          <w:rFonts w:cs="Arial"/>
        </w:rPr>
        <w:t>Quiazon</w:t>
      </w:r>
      <w:proofErr w:type="spellEnd"/>
      <w:r w:rsidRPr="008337A7">
        <w:rPr>
          <w:rFonts w:cs="Arial"/>
        </w:rPr>
        <w:t>, R., &amp; Warr, D. (2016). Promoting community-led responses to violence against immigrant and refugee women in metropolitan and regional Australia: The ASPIRE Project: Key findings and future directions (ANROWS Horizons, 08/2016). Sydney: ANROWS.</w:t>
      </w:r>
    </w:p>
  </w:endnote>
  <w:endnote w:id="54">
    <w:p w14:paraId="0756232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Chung D, Fisher C, </w:t>
      </w:r>
      <w:proofErr w:type="spellStart"/>
      <w:r w:rsidRPr="008337A7">
        <w:rPr>
          <w:rFonts w:cs="Arial"/>
        </w:rPr>
        <w:t>Zufferey</w:t>
      </w:r>
      <w:proofErr w:type="spellEnd"/>
      <w:r w:rsidRPr="008337A7">
        <w:rPr>
          <w:rFonts w:cs="Arial"/>
        </w:rPr>
        <w:t xml:space="preserve"> C, </w:t>
      </w:r>
      <w:proofErr w:type="spellStart"/>
      <w:r w:rsidRPr="008337A7">
        <w:rPr>
          <w:rFonts w:cs="Arial"/>
        </w:rPr>
        <w:t>Thiara</w:t>
      </w:r>
      <w:proofErr w:type="spellEnd"/>
      <w:r w:rsidRPr="008337A7">
        <w:rPr>
          <w:rFonts w:cs="Arial"/>
        </w:rPr>
        <w:t xml:space="preserve"> RK. (2018). Preventing sexual violence against young women from African backgrounds: Trends and Issues in Crime and Criminal Justice, Australian Institute of Criminology No. 540</w:t>
      </w:r>
    </w:p>
  </w:endnote>
  <w:endnote w:id="55">
    <w:p w14:paraId="0E9057A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Dasgupta SD 1998. Gender roles and cultural continuity in the Asian Indian immigrant community in the U.S.</w:t>
      </w:r>
    </w:p>
    <w:p w14:paraId="527F877F" w14:textId="77777777" w:rsidR="00D76477" w:rsidRPr="008337A7" w:rsidRDefault="00D76477" w:rsidP="00BE4A29">
      <w:pPr>
        <w:pStyle w:val="EndnoteText"/>
        <w:spacing w:after="120"/>
        <w:rPr>
          <w:rFonts w:cs="Arial"/>
        </w:rPr>
      </w:pPr>
      <w:r w:rsidRPr="008337A7">
        <w:rPr>
          <w:rFonts w:cs="Arial"/>
        </w:rPr>
        <w:t>Sex Roles 38(11–12): 953–974</w:t>
      </w:r>
    </w:p>
  </w:endnote>
  <w:endnote w:id="56">
    <w:p w14:paraId="017DE73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Rees S &amp; Pease B 2007. Domestic violence in refugee families in Australia. Journal of Immigrant &amp; Refugee</w:t>
      </w:r>
    </w:p>
    <w:p w14:paraId="561BAE73" w14:textId="77777777" w:rsidR="00D76477" w:rsidRPr="008337A7" w:rsidRDefault="00D76477" w:rsidP="00BE4A29">
      <w:pPr>
        <w:pStyle w:val="EndnoteText"/>
        <w:spacing w:after="120"/>
        <w:rPr>
          <w:rFonts w:cs="Arial"/>
        </w:rPr>
      </w:pPr>
      <w:r w:rsidRPr="008337A7">
        <w:rPr>
          <w:rFonts w:cs="Arial"/>
        </w:rPr>
        <w:t>Studies 5(2): 1–19</w:t>
      </w:r>
    </w:p>
  </w:endnote>
  <w:endnote w:id="57">
    <w:p w14:paraId="7F00559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Razack S 1994. What is to be gained by looking white people in the eye? Culture, race, and gender in cases of</w:t>
      </w:r>
    </w:p>
    <w:p w14:paraId="4AE01855" w14:textId="77777777" w:rsidR="00D76477" w:rsidRPr="008337A7" w:rsidRDefault="00D76477" w:rsidP="00BE4A29">
      <w:pPr>
        <w:pStyle w:val="EndnoteText"/>
        <w:spacing w:after="120"/>
        <w:rPr>
          <w:rFonts w:cs="Arial"/>
        </w:rPr>
      </w:pPr>
      <w:r w:rsidRPr="008337A7">
        <w:rPr>
          <w:rFonts w:cs="Arial"/>
        </w:rPr>
        <w:t>sexual violence. Signs: Journal of Women in Culture and Society 19(4): 894–923</w:t>
      </w:r>
    </w:p>
  </w:endnote>
  <w:endnote w:id="58">
    <w:p w14:paraId="1212619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Bent-Goodley T 2009. A black experience-based approach to gender-based violence. Social Work 54(3):</w:t>
      </w:r>
    </w:p>
    <w:p w14:paraId="663719EC" w14:textId="77777777" w:rsidR="00D76477" w:rsidRPr="008337A7" w:rsidRDefault="00D76477" w:rsidP="00BE4A29">
      <w:pPr>
        <w:pStyle w:val="EndnoteText"/>
        <w:spacing w:after="120"/>
        <w:rPr>
          <w:rFonts w:cs="Arial"/>
        </w:rPr>
      </w:pPr>
      <w:r w:rsidRPr="008337A7">
        <w:rPr>
          <w:rFonts w:cs="Arial"/>
        </w:rPr>
        <w:t>262–269</w:t>
      </w:r>
    </w:p>
  </w:endnote>
  <w:endnote w:id="59">
    <w:p w14:paraId="6AEA6FC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Ethnic Communities’ Council of Victoria, 2013. Women surviving violence: Cultural competence in critical</w:t>
      </w:r>
    </w:p>
    <w:p w14:paraId="3ECF784B" w14:textId="77777777" w:rsidR="00D76477" w:rsidRPr="008337A7" w:rsidRDefault="00D76477" w:rsidP="00BE4A29">
      <w:pPr>
        <w:pStyle w:val="EndnoteText"/>
        <w:spacing w:after="120"/>
        <w:rPr>
          <w:rFonts w:cs="Arial"/>
        </w:rPr>
      </w:pPr>
      <w:r w:rsidRPr="008337A7">
        <w:rPr>
          <w:rFonts w:cs="Arial"/>
        </w:rPr>
        <w:t>services. Policy research paper. Melbourne: Ethnic Communities’ Council of Victoria</w:t>
      </w:r>
    </w:p>
  </w:endnote>
  <w:endnote w:id="60">
    <w:p w14:paraId="38469BE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Chung et al</w:t>
      </w:r>
    </w:p>
  </w:endnote>
  <w:endnote w:id="61">
    <w:p w14:paraId="07D7D1C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Chung et al</w:t>
      </w:r>
    </w:p>
  </w:endnote>
  <w:endnote w:id="62">
    <w:p w14:paraId="7D975F22"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Dasgupta SD 1998. Gender roles and cultural continuity in the Asian Indian immigrant community in the U.S.</w:t>
      </w:r>
    </w:p>
    <w:p w14:paraId="3329A31F" w14:textId="77777777" w:rsidR="00D76477" w:rsidRPr="008337A7" w:rsidRDefault="00D76477" w:rsidP="00BE4A29">
      <w:pPr>
        <w:pStyle w:val="EndnoteText"/>
        <w:spacing w:after="120"/>
        <w:rPr>
          <w:rFonts w:cs="Arial"/>
        </w:rPr>
      </w:pPr>
      <w:r w:rsidRPr="008337A7">
        <w:rPr>
          <w:rFonts w:cs="Arial"/>
        </w:rPr>
        <w:t>Sex Roles 38(11–12): 953–974</w:t>
      </w:r>
    </w:p>
  </w:endnote>
  <w:endnote w:id="63">
    <w:p w14:paraId="5F63BB32"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Menjίvar</w:t>
      </w:r>
      <w:proofErr w:type="spellEnd"/>
      <w:r w:rsidRPr="008337A7">
        <w:rPr>
          <w:rFonts w:cs="Arial"/>
        </w:rPr>
        <w:t xml:space="preserve"> C &amp; Salcido O 2002. Immigrant women and domestic violence: Common experiences in different countries. </w:t>
      </w:r>
      <w:r w:rsidRPr="008337A7">
        <w:rPr>
          <w:rFonts w:cs="Arial"/>
          <w:i/>
        </w:rPr>
        <w:t xml:space="preserve">Gender and Society </w:t>
      </w:r>
      <w:r w:rsidRPr="008337A7">
        <w:rPr>
          <w:rFonts w:cs="Arial"/>
        </w:rPr>
        <w:t>16(6): 898–920</w:t>
      </w:r>
    </w:p>
  </w:endnote>
  <w:endnote w:id="64">
    <w:p w14:paraId="10114C5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Ethnic Communities’ Council of Victoria, 2013</w:t>
      </w:r>
    </w:p>
  </w:endnote>
  <w:endnote w:id="65">
    <w:p w14:paraId="02A9D9D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Chung et al</w:t>
      </w:r>
    </w:p>
  </w:endnote>
  <w:endnote w:id="66">
    <w:p w14:paraId="491767E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Chung et al</w:t>
      </w:r>
    </w:p>
  </w:endnote>
  <w:endnote w:id="67">
    <w:p w14:paraId="21F9A50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Vaughan et al</w:t>
      </w:r>
    </w:p>
  </w:endnote>
  <w:endnote w:id="68">
    <w:p w14:paraId="013C7FB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Vaughan et al</w:t>
      </w:r>
    </w:p>
  </w:endnote>
  <w:endnote w:id="69">
    <w:p w14:paraId="08FC739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Rees &amp; Pease 2007</w:t>
      </w:r>
    </w:p>
  </w:endnote>
  <w:endnote w:id="70">
    <w:p w14:paraId="57EB0EB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Australian Women Against Violence Alliance (2017): Submission into the Public Consultation on Visa Simplification: Transforming Australia’s Visa System</w:t>
      </w:r>
    </w:p>
  </w:endnote>
  <w:endnote w:id="71">
    <w:p w14:paraId="6FA17EC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Vaughan et al</w:t>
      </w:r>
    </w:p>
  </w:endnote>
  <w:endnote w:id="72">
    <w:p w14:paraId="2189821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Sexual Assault and adults with a disability: Enabling recognition, </w:t>
      </w:r>
      <w:proofErr w:type="gramStart"/>
      <w:r w:rsidRPr="008337A7">
        <w:rPr>
          <w:rFonts w:cs="Arial"/>
        </w:rPr>
        <w:t>disclosure</w:t>
      </w:r>
      <w:proofErr w:type="gramEnd"/>
      <w:r w:rsidRPr="008337A7">
        <w:rPr>
          <w:rFonts w:cs="Arial"/>
        </w:rPr>
        <w:t xml:space="preserve"> and a just response. ACSSA Issues No. 9 September 2008</w:t>
      </w:r>
    </w:p>
  </w:endnote>
  <w:endnote w:id="73">
    <w:p w14:paraId="3350987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Ducassoux</w:t>
      </w:r>
      <w:proofErr w:type="spellEnd"/>
      <w:r w:rsidRPr="008337A7">
        <w:rPr>
          <w:rFonts w:cs="Arial"/>
        </w:rPr>
        <w:t xml:space="preserve"> M. A Contraception and Consent: A Comparative Analysis of the Legal Framework for Accessing Contraception. Women with Disabilities ACT, August 2017</w:t>
      </w:r>
    </w:p>
  </w:endnote>
  <w:endnote w:id="74">
    <w:p w14:paraId="35F65E4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Sexual Health &amp; Family Planning Australia. Improving Sexual and Reproductive Health for People with a Disability. Report from the SH&amp;FPA Disability Specialist Group. May 2013</w:t>
      </w:r>
    </w:p>
  </w:endnote>
  <w:endnote w:id="75">
    <w:p w14:paraId="478BC17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Senate Community Affairs References Committee Report. Involuntary or coerced sterilisation of people</w:t>
      </w:r>
    </w:p>
    <w:p w14:paraId="57895C0D" w14:textId="77777777" w:rsidR="00D76477" w:rsidRPr="008337A7" w:rsidRDefault="00D76477" w:rsidP="00BE4A29">
      <w:pPr>
        <w:pStyle w:val="EndnoteText"/>
        <w:spacing w:after="120"/>
        <w:rPr>
          <w:rFonts w:cs="Arial"/>
        </w:rPr>
      </w:pPr>
      <w:r w:rsidRPr="008337A7">
        <w:rPr>
          <w:rFonts w:cs="Arial"/>
        </w:rPr>
        <w:t>with disabilities in Australia. July 2013</w:t>
      </w:r>
    </w:p>
  </w:endnote>
  <w:endnote w:id="76">
    <w:p w14:paraId="4B9D418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Frohmander</w:t>
      </w:r>
      <w:proofErr w:type="spellEnd"/>
      <w:r w:rsidRPr="008337A7">
        <w:rPr>
          <w:rFonts w:cs="Arial"/>
        </w:rPr>
        <w:t xml:space="preserve"> C, </w:t>
      </w:r>
      <w:proofErr w:type="spellStart"/>
      <w:r w:rsidRPr="008337A7">
        <w:rPr>
          <w:rFonts w:cs="Arial"/>
        </w:rPr>
        <w:t>Ortoleva</w:t>
      </w:r>
      <w:proofErr w:type="spellEnd"/>
      <w:r w:rsidRPr="008337A7">
        <w:rPr>
          <w:rFonts w:cs="Arial"/>
        </w:rPr>
        <w:t xml:space="preserve"> S. The Sexual and Reproductive Rights of Women and Girls with Disabilities. Issues Paper July 2013</w:t>
      </w:r>
    </w:p>
  </w:endnote>
  <w:endnote w:id="77">
    <w:p w14:paraId="6AE8AE7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Committee on the Elimination of All Forms of Discrimination Against Women. Concluding observations on the eighth periodic report of Australia. 25 July 2018</w:t>
      </w:r>
    </w:p>
  </w:endnote>
  <w:endnote w:id="78">
    <w:p w14:paraId="7B79E8D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Campbell J. Health consequences of intimate partner violence. Violence against women II, The Lancet. Vol 359, April 2002</w:t>
      </w:r>
    </w:p>
  </w:endnote>
  <w:endnote w:id="79">
    <w:p w14:paraId="0EE56ED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Campbell J </w:t>
      </w:r>
    </w:p>
  </w:endnote>
  <w:endnote w:id="80">
    <w:p w14:paraId="12D9407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Anderson 2018</w:t>
      </w:r>
    </w:p>
  </w:endnote>
  <w:endnote w:id="81">
    <w:p w14:paraId="338BB8D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Heiss</w:t>
      </w:r>
      <w:proofErr w:type="spellEnd"/>
      <w:r w:rsidRPr="008337A7">
        <w:rPr>
          <w:rFonts w:cs="Arial"/>
        </w:rPr>
        <w:t xml:space="preserve"> LL, </w:t>
      </w:r>
      <w:proofErr w:type="spellStart"/>
      <w:r w:rsidRPr="008337A7">
        <w:rPr>
          <w:rFonts w:cs="Arial"/>
        </w:rPr>
        <w:t>Pitanguy</w:t>
      </w:r>
      <w:proofErr w:type="spellEnd"/>
      <w:r w:rsidRPr="008337A7">
        <w:rPr>
          <w:rFonts w:cs="Arial"/>
        </w:rPr>
        <w:t xml:space="preserve"> J, Germain A. Violence against women. The hidden health </w:t>
      </w:r>
      <w:proofErr w:type="gramStart"/>
      <w:r w:rsidRPr="008337A7">
        <w:rPr>
          <w:rFonts w:cs="Arial"/>
        </w:rPr>
        <w:t>burden</w:t>
      </w:r>
      <w:proofErr w:type="gramEnd"/>
      <w:r w:rsidRPr="008337A7">
        <w:rPr>
          <w:rFonts w:cs="Arial"/>
        </w:rPr>
        <w:t>. Washington DC. World Bank, 1994. ix 72p. (World Bank Discussion Papers 255)</w:t>
      </w:r>
    </w:p>
  </w:endnote>
  <w:endnote w:id="82">
    <w:p w14:paraId="123F5AF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National Council to Reduce Violence Against Women and Their Children. The Cost of Violence Against Women and Their Children. Commonwealth of Australia. March 2009.</w:t>
      </w:r>
    </w:p>
  </w:endnote>
  <w:endnote w:id="83">
    <w:p w14:paraId="2390779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Understanding and Addressing Violence Against Women; Health Consequences. World Health Organisation (WHO) &amp; Pan American Health Organisation, 2012</w:t>
      </w:r>
    </w:p>
  </w:endnote>
  <w:endnote w:id="84">
    <w:p w14:paraId="7847A90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McCauley H, </w:t>
      </w:r>
      <w:proofErr w:type="spellStart"/>
      <w:r w:rsidRPr="008337A7">
        <w:rPr>
          <w:rFonts w:cs="Arial"/>
        </w:rPr>
        <w:t>Falb</w:t>
      </w:r>
      <w:proofErr w:type="spellEnd"/>
      <w:r w:rsidRPr="008337A7">
        <w:rPr>
          <w:rFonts w:cs="Arial"/>
        </w:rPr>
        <w:t xml:space="preserve"> K, </w:t>
      </w:r>
      <w:proofErr w:type="spellStart"/>
      <w:r w:rsidRPr="008337A7">
        <w:rPr>
          <w:rFonts w:cs="Arial"/>
        </w:rPr>
        <w:t>Streich-Tilles</w:t>
      </w:r>
      <w:proofErr w:type="spellEnd"/>
      <w:r w:rsidRPr="008337A7">
        <w:rPr>
          <w:rFonts w:cs="Arial"/>
        </w:rPr>
        <w:t xml:space="preserve"> T, </w:t>
      </w:r>
      <w:proofErr w:type="spellStart"/>
      <w:r w:rsidRPr="008337A7">
        <w:rPr>
          <w:rFonts w:cs="Arial"/>
        </w:rPr>
        <w:t>Kpebo</w:t>
      </w:r>
      <w:proofErr w:type="spellEnd"/>
      <w:r w:rsidRPr="008337A7">
        <w:rPr>
          <w:rFonts w:cs="Arial"/>
        </w:rPr>
        <w:t xml:space="preserve"> D, Gupta J. Mental health impacts of reproductive coercion among women in Cote d’Ivoire, Int J </w:t>
      </w:r>
      <w:proofErr w:type="spellStart"/>
      <w:r w:rsidRPr="008337A7">
        <w:rPr>
          <w:rFonts w:cs="Arial"/>
        </w:rPr>
        <w:t>Gynaecol</w:t>
      </w:r>
      <w:proofErr w:type="spellEnd"/>
      <w:r w:rsidRPr="008337A7">
        <w:rPr>
          <w:rFonts w:cs="Arial"/>
        </w:rPr>
        <w:t xml:space="preserve"> Obstet. 2014 </w:t>
      </w:r>
      <w:proofErr w:type="gramStart"/>
      <w:r w:rsidRPr="008337A7">
        <w:rPr>
          <w:rFonts w:cs="Arial"/>
        </w:rPr>
        <w:t>October ;</w:t>
      </w:r>
      <w:proofErr w:type="gramEnd"/>
      <w:r w:rsidRPr="008337A7">
        <w:rPr>
          <w:rFonts w:cs="Arial"/>
        </w:rPr>
        <w:t xml:space="preserve"> 127 (1): 55-59</w:t>
      </w:r>
    </w:p>
  </w:endnote>
  <w:endnote w:id="85">
    <w:p w14:paraId="702B4F1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Lutwak</w:t>
      </w:r>
      <w:proofErr w:type="spellEnd"/>
      <w:r w:rsidRPr="008337A7">
        <w:rPr>
          <w:rFonts w:cs="Arial"/>
        </w:rPr>
        <w:t xml:space="preserve"> N (2018) The Psychology of Health and Illness: The Mental Health and Physiological Effects of Intimate Partner Violence on Women, The Journal of Psychology, 152:6, 373-387</w:t>
      </w:r>
    </w:p>
  </w:endnote>
  <w:endnote w:id="86">
    <w:p w14:paraId="488653B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Delara</w:t>
      </w:r>
      <w:proofErr w:type="spellEnd"/>
      <w:r w:rsidRPr="008337A7">
        <w:rPr>
          <w:rFonts w:cs="Arial"/>
        </w:rPr>
        <w:t xml:space="preserve"> M. Mental Health Consequences and Risk Factors of Physical Intimate Partner Violence, Mental Health </w:t>
      </w:r>
      <w:proofErr w:type="gramStart"/>
      <w:r w:rsidRPr="008337A7">
        <w:rPr>
          <w:rFonts w:cs="Arial"/>
        </w:rPr>
        <w:t>In</w:t>
      </w:r>
      <w:proofErr w:type="gramEnd"/>
      <w:r w:rsidRPr="008337A7">
        <w:rPr>
          <w:rFonts w:cs="Arial"/>
        </w:rPr>
        <w:t xml:space="preserve"> Family Medicine 2016; 12:119-125</w:t>
      </w:r>
    </w:p>
  </w:endnote>
  <w:endnote w:id="87">
    <w:p w14:paraId="6446610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Meekers</w:t>
      </w:r>
      <w:proofErr w:type="spellEnd"/>
      <w:r w:rsidRPr="008337A7">
        <w:rPr>
          <w:rFonts w:cs="Arial"/>
        </w:rPr>
        <w:t xml:space="preserve"> D, </w:t>
      </w:r>
      <w:proofErr w:type="spellStart"/>
      <w:r w:rsidRPr="008337A7">
        <w:rPr>
          <w:rFonts w:cs="Arial"/>
        </w:rPr>
        <w:t>Pallin</w:t>
      </w:r>
      <w:proofErr w:type="spellEnd"/>
      <w:r w:rsidRPr="008337A7">
        <w:rPr>
          <w:rFonts w:cs="Arial"/>
        </w:rPr>
        <w:t xml:space="preserve"> SC, Hutchinson P. Intimate partner violence and mental health in </w:t>
      </w:r>
      <w:proofErr w:type="gramStart"/>
      <w:r w:rsidRPr="008337A7">
        <w:rPr>
          <w:rFonts w:cs="Arial"/>
        </w:rPr>
        <w:t>Bolivia .</w:t>
      </w:r>
      <w:proofErr w:type="gramEnd"/>
      <w:r w:rsidRPr="008337A7">
        <w:rPr>
          <w:rFonts w:cs="Arial"/>
        </w:rPr>
        <w:t xml:space="preserve"> </w:t>
      </w:r>
      <w:proofErr w:type="spellStart"/>
      <w:r w:rsidRPr="008337A7">
        <w:rPr>
          <w:rFonts w:cs="Arial"/>
        </w:rPr>
        <w:t>BMCWomen’s</w:t>
      </w:r>
      <w:proofErr w:type="spellEnd"/>
      <w:r w:rsidRPr="008337A7">
        <w:rPr>
          <w:rFonts w:cs="Arial"/>
        </w:rPr>
        <w:t xml:space="preserve"> Health. 2013; 13: 28-43</w:t>
      </w:r>
    </w:p>
  </w:endnote>
  <w:endnote w:id="88">
    <w:p w14:paraId="7B0549A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Meekers</w:t>
      </w:r>
      <w:proofErr w:type="spellEnd"/>
      <w:r w:rsidRPr="008337A7">
        <w:rPr>
          <w:rFonts w:cs="Arial"/>
        </w:rPr>
        <w:t xml:space="preserve"> M</w:t>
      </w:r>
    </w:p>
  </w:endnote>
  <w:endnote w:id="89">
    <w:p w14:paraId="14E8163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Okuda M, </w:t>
      </w:r>
      <w:proofErr w:type="spellStart"/>
      <w:r w:rsidRPr="008337A7">
        <w:rPr>
          <w:rFonts w:cs="Arial"/>
        </w:rPr>
        <w:t>Olfson</w:t>
      </w:r>
      <w:proofErr w:type="spellEnd"/>
      <w:r w:rsidRPr="008337A7">
        <w:rPr>
          <w:rFonts w:cs="Arial"/>
        </w:rPr>
        <w:t xml:space="preserve"> M, </w:t>
      </w:r>
      <w:proofErr w:type="spellStart"/>
      <w:r w:rsidRPr="008337A7">
        <w:rPr>
          <w:rFonts w:cs="Arial"/>
        </w:rPr>
        <w:t>Hasin</w:t>
      </w:r>
      <w:proofErr w:type="spellEnd"/>
      <w:r w:rsidRPr="008337A7">
        <w:rPr>
          <w:rFonts w:cs="Arial"/>
        </w:rPr>
        <w:t xml:space="preserve"> D, Bridget F, Grant BF, et al. Mental health victims of intimate partner </w:t>
      </w:r>
      <w:proofErr w:type="gramStart"/>
      <w:r w:rsidRPr="008337A7">
        <w:rPr>
          <w:rFonts w:cs="Arial"/>
        </w:rPr>
        <w:t>violence :</w:t>
      </w:r>
      <w:proofErr w:type="gramEnd"/>
      <w:r w:rsidRPr="008337A7">
        <w:rPr>
          <w:rFonts w:cs="Arial"/>
        </w:rPr>
        <w:t xml:space="preserve"> results from a national epidemiological survey. Psychiatric Services. 2011; 62:959-962</w:t>
      </w:r>
    </w:p>
  </w:endnote>
  <w:endnote w:id="90">
    <w:p w14:paraId="26A80D0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Devries KM, Seguin M. Violence against women and suicidality: does violence cause suicidal behaviour. In C Garcia-Moreno &amp; A </w:t>
      </w:r>
      <w:proofErr w:type="spellStart"/>
      <w:r w:rsidRPr="008337A7">
        <w:rPr>
          <w:rFonts w:cs="Arial"/>
        </w:rPr>
        <w:t>Riecher-Rossler</w:t>
      </w:r>
      <w:proofErr w:type="spellEnd"/>
      <w:r w:rsidRPr="008337A7">
        <w:rPr>
          <w:rFonts w:cs="Arial"/>
        </w:rPr>
        <w:t xml:space="preserve"> (Eds). Violence against women and mental health. 2013; 178: 148-158</w:t>
      </w:r>
    </w:p>
  </w:endnote>
  <w:endnote w:id="91">
    <w:p w14:paraId="1808740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Frayne, S. M., </w:t>
      </w:r>
      <w:proofErr w:type="spellStart"/>
      <w:r w:rsidRPr="008337A7">
        <w:rPr>
          <w:rFonts w:cs="Arial"/>
        </w:rPr>
        <w:t>Seaver</w:t>
      </w:r>
      <w:proofErr w:type="spellEnd"/>
      <w:r w:rsidRPr="008337A7">
        <w:rPr>
          <w:rFonts w:cs="Arial"/>
        </w:rPr>
        <w:t>, M. R., Loveland, S., Christiansen, C. L., Spiro, A., Parker, V. A., &amp; Skinner, K.</w:t>
      </w:r>
    </w:p>
    <w:p w14:paraId="1756EF28" w14:textId="77777777" w:rsidR="00D76477" w:rsidRPr="008337A7" w:rsidRDefault="00D76477" w:rsidP="00BE4A29">
      <w:pPr>
        <w:pStyle w:val="EndnoteText"/>
        <w:spacing w:after="120"/>
        <w:rPr>
          <w:rFonts w:cs="Arial"/>
        </w:rPr>
      </w:pPr>
      <w:r w:rsidRPr="008337A7">
        <w:rPr>
          <w:rFonts w:cs="Arial"/>
        </w:rPr>
        <w:t>(2004). Burden of medical illness in women with depression and posttraumatic stress disorder.</w:t>
      </w:r>
    </w:p>
    <w:p w14:paraId="7D218C1F" w14:textId="77777777" w:rsidR="00D76477" w:rsidRPr="00B56730" w:rsidRDefault="00D76477" w:rsidP="00BE4A29">
      <w:pPr>
        <w:pStyle w:val="EndnoteText"/>
        <w:spacing w:after="120"/>
        <w:rPr>
          <w:rFonts w:cs="Arial"/>
        </w:rPr>
      </w:pPr>
      <w:r w:rsidRPr="00B56730">
        <w:rPr>
          <w:rFonts w:cs="Arial"/>
        </w:rPr>
        <w:t>Archives of Internal Medicine, 164(12), 1306–1312. doi:10.1001/archinte.164.12.1306</w:t>
      </w:r>
    </w:p>
  </w:endnote>
  <w:endnote w:id="92">
    <w:p w14:paraId="0B09831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Campbell J</w:t>
      </w:r>
    </w:p>
  </w:endnote>
  <w:endnote w:id="93">
    <w:p w14:paraId="06F7C12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Campbell J</w:t>
      </w:r>
    </w:p>
  </w:endnote>
  <w:endnote w:id="94">
    <w:p w14:paraId="69B907C5" w14:textId="77777777" w:rsidR="00D76477" w:rsidRPr="008337A7" w:rsidRDefault="00D76477" w:rsidP="00BE4A29">
      <w:pPr>
        <w:pStyle w:val="EndnoteText"/>
        <w:spacing w:after="120"/>
        <w:rPr>
          <w:rFonts w:cs="Arial"/>
        </w:rPr>
      </w:pPr>
      <w:r w:rsidRPr="008337A7">
        <w:rPr>
          <w:rStyle w:val="EndnoteReference"/>
          <w:rFonts w:cs="Arial"/>
        </w:rPr>
        <w:endnoteRef/>
      </w:r>
      <w:proofErr w:type="spellStart"/>
      <w:r w:rsidRPr="008337A7">
        <w:rPr>
          <w:rFonts w:cs="Arial"/>
        </w:rPr>
        <w:t>Hasstedt</w:t>
      </w:r>
      <w:proofErr w:type="spellEnd"/>
      <w:r w:rsidRPr="008337A7">
        <w:rPr>
          <w:rFonts w:cs="Arial"/>
        </w:rPr>
        <w:t xml:space="preserve"> K, Rowan A. Understanding Intimate Partner Violence as a Sexual and Reproductive Health and Rights Issue in the United States. Guttmacher Policy Review Vol. 19 2016</w:t>
      </w:r>
    </w:p>
  </w:endnote>
  <w:endnote w:id="95">
    <w:p w14:paraId="7A6C094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CDC, STDs during pregnancy, May 2016</w:t>
      </w:r>
    </w:p>
  </w:endnote>
  <w:endnote w:id="96">
    <w:p w14:paraId="1DACB42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Reproductive coercion: connecting the dots between partner violence and unintended pregnancy Miller, Elizabeth Jordan, Beth Levenson, Rebecca Silverman, Jay G. et al. </w:t>
      </w:r>
      <w:proofErr w:type="gramStart"/>
      <w:r w:rsidRPr="008337A7">
        <w:rPr>
          <w:rFonts w:cs="Arial"/>
        </w:rPr>
        <w:t>Contraception ,</w:t>
      </w:r>
      <w:proofErr w:type="gramEnd"/>
      <w:r w:rsidRPr="008337A7">
        <w:rPr>
          <w:rFonts w:cs="Arial"/>
        </w:rPr>
        <w:t xml:space="preserve"> Volume 81 , Issue 6 , 457 - 459</w:t>
      </w:r>
    </w:p>
  </w:endnote>
  <w:endnote w:id="97">
    <w:p w14:paraId="0588CBA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E, Decker MR, McCauley H, </w:t>
      </w:r>
      <w:proofErr w:type="spellStart"/>
      <w:r w:rsidRPr="008337A7">
        <w:rPr>
          <w:rFonts w:cs="Arial"/>
        </w:rPr>
        <w:t>Tancredi</w:t>
      </w:r>
      <w:proofErr w:type="spellEnd"/>
      <w:r w:rsidRPr="008337A7">
        <w:rPr>
          <w:rFonts w:cs="Arial"/>
        </w:rPr>
        <w:t xml:space="preserve"> DJ, Levenson RR, Silverman JG. Pregnancy Coercion,</w:t>
      </w:r>
    </w:p>
    <w:p w14:paraId="6BF8E2E9" w14:textId="77777777" w:rsidR="00D76477" w:rsidRPr="008337A7" w:rsidRDefault="00D76477" w:rsidP="00BE4A29">
      <w:pPr>
        <w:pStyle w:val="EndnoteText"/>
        <w:spacing w:after="120"/>
        <w:rPr>
          <w:rFonts w:cs="Arial"/>
        </w:rPr>
      </w:pPr>
      <w:r w:rsidRPr="008337A7">
        <w:rPr>
          <w:rFonts w:cs="Arial"/>
        </w:rPr>
        <w:t>Intimate Partner Violence, and Unintended Pregnancy. Contraception. 2010;81(4):316-322.</w:t>
      </w:r>
    </w:p>
  </w:endnote>
  <w:endnote w:id="98">
    <w:p w14:paraId="4625F56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Children </w:t>
      </w:r>
      <w:proofErr w:type="gramStart"/>
      <w:r w:rsidRPr="008337A7">
        <w:rPr>
          <w:rFonts w:cs="Arial"/>
        </w:rPr>
        <w:t>By</w:t>
      </w:r>
      <w:proofErr w:type="gramEnd"/>
      <w:r w:rsidRPr="008337A7">
        <w:rPr>
          <w:rFonts w:cs="Arial"/>
        </w:rPr>
        <w:t xml:space="preserve"> Choice, Domestic violence in Australia Children by Choice Submission to the Finance and Public Administration References committee July 2014</w:t>
      </w:r>
    </w:p>
  </w:endnote>
  <w:endnote w:id="99">
    <w:p w14:paraId="3944A53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et al</w:t>
      </w:r>
    </w:p>
  </w:endnote>
  <w:endnote w:id="100">
    <w:p w14:paraId="19833AA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et al</w:t>
      </w:r>
    </w:p>
  </w:endnote>
  <w:endnote w:id="101">
    <w:p w14:paraId="5A6DBBF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et al</w:t>
      </w:r>
    </w:p>
  </w:endnote>
  <w:endnote w:id="102">
    <w:p w14:paraId="3ED0950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and Silverman 2010</w:t>
      </w:r>
    </w:p>
  </w:endnote>
  <w:endnote w:id="103">
    <w:p w14:paraId="62F2CE8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Bauleni</w:t>
      </w:r>
      <w:proofErr w:type="spellEnd"/>
      <w:r w:rsidRPr="008337A7">
        <w:rPr>
          <w:rFonts w:cs="Arial"/>
        </w:rPr>
        <w:t xml:space="preserve"> et al</w:t>
      </w:r>
    </w:p>
  </w:endnote>
  <w:endnote w:id="104">
    <w:p w14:paraId="17EA748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Bauleni</w:t>
      </w:r>
      <w:proofErr w:type="spellEnd"/>
      <w:r w:rsidRPr="008337A7">
        <w:rPr>
          <w:rFonts w:cs="Arial"/>
        </w:rPr>
        <w:t xml:space="preserve"> et al</w:t>
      </w:r>
    </w:p>
  </w:endnote>
  <w:endnote w:id="105">
    <w:p w14:paraId="1885243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Ober M, Stenson K, </w:t>
      </w:r>
      <w:proofErr w:type="spellStart"/>
      <w:r w:rsidRPr="008337A7">
        <w:rPr>
          <w:rFonts w:cs="Arial"/>
        </w:rPr>
        <w:t>Skalkidou</w:t>
      </w:r>
      <w:proofErr w:type="spellEnd"/>
      <w:r w:rsidRPr="008337A7">
        <w:rPr>
          <w:rFonts w:cs="Arial"/>
        </w:rPr>
        <w:t xml:space="preserve"> A, Heimer G. Prevalence of intimate partner violence among women seeking termination of pregnancy compared to women seeking contraceptive counselling. Acta </w:t>
      </w:r>
      <w:proofErr w:type="spellStart"/>
      <w:r w:rsidRPr="008337A7">
        <w:rPr>
          <w:rFonts w:cs="Arial"/>
        </w:rPr>
        <w:t>Obstetricia</w:t>
      </w:r>
      <w:proofErr w:type="spellEnd"/>
      <w:r w:rsidRPr="008337A7">
        <w:rPr>
          <w:rFonts w:cs="Arial"/>
        </w:rPr>
        <w:t xml:space="preserve"> et </w:t>
      </w:r>
      <w:proofErr w:type="spellStart"/>
      <w:r w:rsidRPr="008337A7">
        <w:rPr>
          <w:rFonts w:cs="Arial"/>
        </w:rPr>
        <w:t>Gynecologica</w:t>
      </w:r>
      <w:proofErr w:type="spellEnd"/>
      <w:r w:rsidRPr="008337A7">
        <w:rPr>
          <w:rFonts w:cs="Arial"/>
        </w:rPr>
        <w:t xml:space="preserve"> Scandinavica 93 (2014) 45-51</w:t>
      </w:r>
    </w:p>
  </w:endnote>
  <w:endnote w:id="106">
    <w:p w14:paraId="46CAAB7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Campbell J</w:t>
      </w:r>
    </w:p>
  </w:endnote>
  <w:endnote w:id="107">
    <w:p w14:paraId="6820E67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Campbell J</w:t>
      </w:r>
    </w:p>
  </w:endnote>
  <w:endnote w:id="108">
    <w:p w14:paraId="5137700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N. N. Sarkar (2008) The impact of intimate partner violence on women's reproductive health and pregnancy outcome, Journal of Obstetrics and Gynaecology, 28:3, 266-271</w:t>
      </w:r>
    </w:p>
  </w:endnote>
  <w:endnote w:id="109">
    <w:p w14:paraId="56D27B5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Campbell J</w:t>
      </w:r>
    </w:p>
  </w:endnote>
  <w:endnote w:id="110">
    <w:p w14:paraId="63D3740D" w14:textId="77777777" w:rsidR="00D76477" w:rsidRPr="008337A7" w:rsidRDefault="00D76477" w:rsidP="00BE4A29">
      <w:pPr>
        <w:pStyle w:val="EndnoteText"/>
        <w:spacing w:after="120"/>
        <w:rPr>
          <w:rFonts w:cs="Arial"/>
          <w:color w:val="666666"/>
        </w:rPr>
      </w:pPr>
      <w:r w:rsidRPr="008337A7">
        <w:rPr>
          <w:rStyle w:val="EndnoteReference"/>
          <w:rFonts w:cs="Arial"/>
        </w:rPr>
        <w:endnoteRef/>
      </w:r>
      <w:r w:rsidRPr="008337A7">
        <w:rPr>
          <w:rFonts w:cs="Arial"/>
        </w:rPr>
        <w:t xml:space="preserve"> Campo M. Domestic and family violence in pregnancy and early parenthood. Overview and emerging interventions. CFCA Practitioner Resource, Australian Institute of Family Studies. December 2015</w:t>
      </w:r>
    </w:p>
  </w:endnote>
  <w:endnote w:id="111">
    <w:p w14:paraId="42180BB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Campbell J</w:t>
      </w:r>
    </w:p>
  </w:endnote>
  <w:endnote w:id="112">
    <w:p w14:paraId="2F85272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Bauleni</w:t>
      </w:r>
      <w:proofErr w:type="spellEnd"/>
      <w:r w:rsidRPr="008337A7">
        <w:rPr>
          <w:rFonts w:cs="Arial"/>
        </w:rPr>
        <w:t xml:space="preserve"> E, Hooker L, </w:t>
      </w:r>
      <w:proofErr w:type="spellStart"/>
      <w:r w:rsidRPr="008337A7">
        <w:rPr>
          <w:rFonts w:cs="Arial"/>
        </w:rPr>
        <w:t>Vally</w:t>
      </w:r>
      <w:proofErr w:type="spellEnd"/>
      <w:r w:rsidRPr="008337A7">
        <w:rPr>
          <w:rFonts w:cs="Arial"/>
        </w:rPr>
        <w:t xml:space="preserve"> HP, Taft A. Intimate-partner violence and reproductive decision-making by women attending Victorian Maternal and Child-Health services: a cross-sectional study. Australian Journal of Primary Health, CSIRO Publishing 2018</w:t>
      </w:r>
    </w:p>
  </w:endnote>
  <w:endnote w:id="113">
    <w:p w14:paraId="223C7A5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Brown SS, </w:t>
      </w:r>
      <w:proofErr w:type="spellStart"/>
      <w:r w:rsidRPr="008337A7">
        <w:rPr>
          <w:rFonts w:cs="Arial"/>
        </w:rPr>
        <w:t>Eisenber</w:t>
      </w:r>
      <w:proofErr w:type="spellEnd"/>
      <w:r w:rsidRPr="008337A7">
        <w:rPr>
          <w:rFonts w:cs="Arial"/>
        </w:rPr>
        <w:t xml:space="preserve"> L (eds). The Best Intentions: Unintended Pregnancy and the Well-Being of Children and Families. Committee on Unintended Pregnancy, Division of Health Promotion and Disease Prevention. Institute of Medicine. Washington 1995.</w:t>
      </w:r>
    </w:p>
  </w:endnote>
  <w:endnote w:id="114">
    <w:p w14:paraId="052ED7D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Lutwak</w:t>
      </w:r>
      <w:proofErr w:type="spellEnd"/>
      <w:r w:rsidRPr="008337A7">
        <w:rPr>
          <w:rFonts w:cs="Arial"/>
        </w:rPr>
        <w:t xml:space="preserve"> N </w:t>
      </w:r>
    </w:p>
  </w:endnote>
  <w:endnote w:id="115">
    <w:p w14:paraId="711A2FD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Bryant, W. &amp; </w:t>
      </w:r>
      <w:proofErr w:type="spellStart"/>
      <w:r w:rsidRPr="008337A7">
        <w:rPr>
          <w:rFonts w:cs="Arial"/>
        </w:rPr>
        <w:t>Bricknall</w:t>
      </w:r>
      <w:proofErr w:type="spellEnd"/>
      <w:r w:rsidRPr="008337A7">
        <w:rPr>
          <w:rFonts w:cs="Arial"/>
        </w:rPr>
        <w:t>, S. (2017). Homicide in Australia 2012-2014: National Homicide Monitoring Program report. Canberra: Australian Institute of Criminology. Retrieved from: https://bit.ly/2ozctxh.</w:t>
      </w:r>
    </w:p>
  </w:endnote>
  <w:endnote w:id="116">
    <w:p w14:paraId="14AA067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Death Review and Advisory Board</w:t>
      </w:r>
    </w:p>
  </w:endnote>
  <w:endnote w:id="117">
    <w:p w14:paraId="59C63E3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Domestic Violence Death Review Team. Australian Domestic and Family Violence Death Review. May 2018.</w:t>
      </w:r>
    </w:p>
  </w:endnote>
  <w:endnote w:id="118">
    <w:p w14:paraId="254DDF62"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Delara</w:t>
      </w:r>
      <w:proofErr w:type="spellEnd"/>
      <w:r w:rsidRPr="008337A7">
        <w:rPr>
          <w:rFonts w:cs="Arial"/>
        </w:rPr>
        <w:t xml:space="preserve"> M</w:t>
      </w:r>
    </w:p>
  </w:endnote>
  <w:endnote w:id="119">
    <w:p w14:paraId="377F81CD" w14:textId="5A473E99" w:rsidR="00D76477" w:rsidRPr="00B56730" w:rsidRDefault="00D76477" w:rsidP="00BE4A29">
      <w:pPr>
        <w:pStyle w:val="EndnoteText"/>
        <w:spacing w:after="120"/>
        <w:rPr>
          <w:rFonts w:cs="Arial"/>
        </w:rPr>
      </w:pPr>
      <w:r w:rsidRPr="008337A7">
        <w:rPr>
          <w:rStyle w:val="EndnoteReference"/>
          <w:rFonts w:cs="Arial"/>
        </w:rPr>
        <w:endnoteRef/>
      </w:r>
      <w:r w:rsidRPr="008337A7">
        <w:rPr>
          <w:rFonts w:cs="Arial"/>
        </w:rPr>
        <w:t xml:space="preserve"> Opportunities exist to include reproductive coercion </w:t>
      </w:r>
      <w:r w:rsidRPr="00B56730">
        <w:rPr>
          <w:rFonts w:cs="Arial"/>
        </w:rPr>
        <w:t xml:space="preserve">behaviour into the National Minimum Dataset </w:t>
      </w:r>
      <w:proofErr w:type="gramStart"/>
      <w:r w:rsidRPr="00B56730">
        <w:rPr>
          <w:rFonts w:cs="Arial"/>
        </w:rPr>
        <w:t>in order to</w:t>
      </w:r>
      <w:proofErr w:type="gramEnd"/>
      <w:r w:rsidRPr="00B56730">
        <w:rPr>
          <w:rFonts w:cs="Arial"/>
        </w:rPr>
        <w:t xml:space="preserve"> identify patterns of escalation and early warning indicators for escalation of violence.</w:t>
      </w:r>
    </w:p>
  </w:endnote>
  <w:endnote w:id="120">
    <w:p w14:paraId="31A36F1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KT. Caring for Women Experiencing Reproductive Coercion. J Midwifery Women’s Health. 2016; 61(1): 112-115</w:t>
      </w:r>
    </w:p>
  </w:endnote>
  <w:endnote w:id="121">
    <w:p w14:paraId="65E9821F"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Taket</w:t>
      </w:r>
      <w:proofErr w:type="spellEnd"/>
      <w:r w:rsidRPr="008337A7">
        <w:rPr>
          <w:rFonts w:cs="Arial"/>
        </w:rPr>
        <w:t xml:space="preserve"> A, Nurse J, Smith K, et al. Routinely asking women about domestic violence in health settings. </w:t>
      </w:r>
      <w:proofErr w:type="gramStart"/>
      <w:r w:rsidRPr="008337A7">
        <w:rPr>
          <w:rFonts w:cs="Arial"/>
        </w:rPr>
        <w:t>BMJ :</w:t>
      </w:r>
      <w:proofErr w:type="gramEnd"/>
      <w:r w:rsidRPr="008337A7">
        <w:rPr>
          <w:rFonts w:cs="Arial"/>
        </w:rPr>
        <w:t xml:space="preserve"> British Medical Journal. 2003;327(7416):673-676.</w:t>
      </w:r>
    </w:p>
  </w:endnote>
  <w:endnote w:id="122">
    <w:p w14:paraId="4A31C504"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Zachor</w:t>
      </w:r>
      <w:proofErr w:type="spellEnd"/>
      <w:r w:rsidRPr="008337A7">
        <w:rPr>
          <w:rFonts w:cs="Arial"/>
        </w:rPr>
        <w:t xml:space="preserve"> H, Chang JC, </w:t>
      </w:r>
      <w:proofErr w:type="spellStart"/>
      <w:r w:rsidRPr="008337A7">
        <w:rPr>
          <w:rFonts w:cs="Arial"/>
        </w:rPr>
        <w:t>Zelazny</w:t>
      </w:r>
      <w:proofErr w:type="spellEnd"/>
      <w:r w:rsidRPr="008337A7">
        <w:rPr>
          <w:rFonts w:cs="Arial"/>
        </w:rPr>
        <w:t xml:space="preserve"> S, Jones KA, Miller E. Training reproductive health providers to talk about intimate partner violence and reproductive coercion: an exploratory study. Health Education Research. Vol. 33 no. 2; 175-185. 2018</w:t>
      </w:r>
    </w:p>
  </w:endnote>
  <w:endnote w:id="123">
    <w:p w14:paraId="725FF78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Zachor</w:t>
      </w:r>
      <w:proofErr w:type="spellEnd"/>
      <w:r w:rsidRPr="008337A7">
        <w:rPr>
          <w:rFonts w:cs="Arial"/>
        </w:rPr>
        <w:t xml:space="preserve"> et al</w:t>
      </w:r>
    </w:p>
  </w:endnote>
  <w:endnote w:id="124">
    <w:p w14:paraId="66A8D8E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Colarossi</w:t>
      </w:r>
      <w:proofErr w:type="spellEnd"/>
      <w:r w:rsidRPr="008337A7">
        <w:rPr>
          <w:rFonts w:cs="Arial"/>
        </w:rPr>
        <w:t xml:space="preserve"> L, Breitbart V, Betancourt G. Barriers to screening for intimate partner violence: a mixed-methods study of providers in family planning clinics. </w:t>
      </w:r>
      <w:proofErr w:type="spellStart"/>
      <w:r w:rsidRPr="008337A7">
        <w:rPr>
          <w:rFonts w:cs="Arial"/>
        </w:rPr>
        <w:t>Perspect</w:t>
      </w:r>
      <w:proofErr w:type="spellEnd"/>
      <w:r w:rsidRPr="008337A7">
        <w:rPr>
          <w:rFonts w:cs="Arial"/>
        </w:rPr>
        <w:t xml:space="preserve"> Sex </w:t>
      </w:r>
      <w:proofErr w:type="spellStart"/>
      <w:r w:rsidRPr="008337A7">
        <w:rPr>
          <w:rFonts w:cs="Arial"/>
        </w:rPr>
        <w:t>Reprod</w:t>
      </w:r>
      <w:proofErr w:type="spellEnd"/>
      <w:r w:rsidRPr="008337A7">
        <w:rPr>
          <w:rFonts w:cs="Arial"/>
        </w:rPr>
        <w:t xml:space="preserve"> Health 2010; 42: 236–43</w:t>
      </w:r>
    </w:p>
  </w:endnote>
  <w:endnote w:id="125">
    <w:p w14:paraId="7695F95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Waalen</w:t>
      </w:r>
      <w:proofErr w:type="spellEnd"/>
      <w:r w:rsidRPr="008337A7">
        <w:rPr>
          <w:rFonts w:cs="Arial"/>
        </w:rPr>
        <w:t xml:space="preserve"> J, Goodwin MM, Spitz AM et al. Screening for intimate partner violence by health care providers. Barriers and</w:t>
      </w:r>
    </w:p>
    <w:p w14:paraId="728BA698" w14:textId="77777777" w:rsidR="00D76477" w:rsidRPr="008337A7" w:rsidRDefault="00D76477" w:rsidP="00BE4A29">
      <w:pPr>
        <w:pStyle w:val="EndnoteText"/>
        <w:spacing w:after="120"/>
        <w:rPr>
          <w:rFonts w:cs="Arial"/>
        </w:rPr>
      </w:pPr>
      <w:r w:rsidRPr="008337A7">
        <w:rPr>
          <w:rFonts w:cs="Arial"/>
        </w:rPr>
        <w:t xml:space="preserve">interventions. Am J </w:t>
      </w:r>
      <w:proofErr w:type="spellStart"/>
      <w:r w:rsidRPr="008337A7">
        <w:rPr>
          <w:rFonts w:cs="Arial"/>
        </w:rPr>
        <w:t>Prev</w:t>
      </w:r>
      <w:proofErr w:type="spellEnd"/>
      <w:r w:rsidRPr="008337A7">
        <w:rPr>
          <w:rFonts w:cs="Arial"/>
        </w:rPr>
        <w:t xml:space="preserve"> Med 2000; 19: 230–7</w:t>
      </w:r>
    </w:p>
  </w:endnote>
  <w:endnote w:id="126">
    <w:p w14:paraId="7282F85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Waalen</w:t>
      </w:r>
      <w:proofErr w:type="spellEnd"/>
      <w:r w:rsidRPr="008337A7">
        <w:rPr>
          <w:rFonts w:cs="Arial"/>
        </w:rPr>
        <w:t xml:space="preserve"> et al</w:t>
      </w:r>
    </w:p>
  </w:endnote>
  <w:endnote w:id="127">
    <w:p w14:paraId="257E542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Australian Institute of Health and Welfare 2015. Screening for domestic violence during pregnancy: options for future reporting in the National Perinatal Data Collection. Cat. no. PER 71. Canberra: AIHW</w:t>
      </w:r>
    </w:p>
  </w:endnote>
  <w:endnote w:id="128">
    <w:p w14:paraId="7A6F7D0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Zachor</w:t>
      </w:r>
      <w:proofErr w:type="spellEnd"/>
      <w:r w:rsidRPr="008337A7">
        <w:rPr>
          <w:rFonts w:cs="Arial"/>
        </w:rPr>
        <w:t xml:space="preserve"> et al</w:t>
      </w:r>
    </w:p>
  </w:endnote>
  <w:endnote w:id="129">
    <w:p w14:paraId="221CC1C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Minsky-Kelly D et al., </w:t>
      </w:r>
      <w:proofErr w:type="gramStart"/>
      <w:r w:rsidRPr="008337A7">
        <w:rPr>
          <w:rFonts w:cs="Arial"/>
        </w:rPr>
        <w:t>We’ve</w:t>
      </w:r>
      <w:proofErr w:type="gramEnd"/>
      <w:r w:rsidRPr="008337A7">
        <w:rPr>
          <w:rFonts w:cs="Arial"/>
        </w:rPr>
        <w:t xml:space="preserve"> had training, now what? Qualitative analysis of barriers to domestic violence screening and referral in a health care setting, Journal of Interpersonal Violence, 2005, 20(10):1288–1309</w:t>
      </w:r>
    </w:p>
  </w:endnote>
  <w:endnote w:id="130">
    <w:p w14:paraId="44438EF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Zachor</w:t>
      </w:r>
      <w:proofErr w:type="spellEnd"/>
      <w:r w:rsidRPr="008337A7">
        <w:rPr>
          <w:rFonts w:cs="Arial"/>
        </w:rPr>
        <w:t xml:space="preserve"> et al</w:t>
      </w:r>
    </w:p>
  </w:endnote>
  <w:endnote w:id="131">
    <w:p w14:paraId="6ECF999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Zachor</w:t>
      </w:r>
      <w:proofErr w:type="spellEnd"/>
      <w:r w:rsidRPr="008337A7">
        <w:rPr>
          <w:rFonts w:cs="Arial"/>
        </w:rPr>
        <w:t xml:space="preserve"> et al</w:t>
      </w:r>
    </w:p>
  </w:endnote>
  <w:endnote w:id="132">
    <w:p w14:paraId="2D4491E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Australian Institute of Health and Welfare 2015</w:t>
      </w:r>
    </w:p>
  </w:endnote>
  <w:endnote w:id="133">
    <w:p w14:paraId="3A9ED0A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Death Review and Advisory Board</w:t>
      </w:r>
    </w:p>
  </w:endnote>
  <w:endnote w:id="134">
    <w:p w14:paraId="79B70F7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E et al 2014</w:t>
      </w:r>
    </w:p>
  </w:endnote>
  <w:endnote w:id="135">
    <w:p w14:paraId="7ED9845F"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Chamberlain L, Levenson R. (2013) Addressing Intimate Partner Violence Reproductive and Sexual Coercion: A Guide for Obstetric, </w:t>
      </w:r>
      <w:proofErr w:type="spellStart"/>
      <w:r w:rsidRPr="008337A7">
        <w:rPr>
          <w:rFonts w:cs="Arial"/>
        </w:rPr>
        <w:t>Gynecologic</w:t>
      </w:r>
      <w:proofErr w:type="spellEnd"/>
      <w:r w:rsidRPr="008337A7">
        <w:rPr>
          <w:rFonts w:cs="Arial"/>
        </w:rPr>
        <w:t xml:space="preserve">, Reproductive Healthcare Settings. Futures Without Violence. The American College of Obstetricians and </w:t>
      </w:r>
      <w:proofErr w:type="spellStart"/>
      <w:r w:rsidRPr="008337A7">
        <w:rPr>
          <w:rFonts w:cs="Arial"/>
        </w:rPr>
        <w:t>Gynecologists</w:t>
      </w:r>
      <w:proofErr w:type="spellEnd"/>
      <w:r w:rsidRPr="008337A7">
        <w:rPr>
          <w:rFonts w:cs="Arial"/>
        </w:rPr>
        <w:t>, Third Edition</w:t>
      </w:r>
    </w:p>
  </w:endnote>
  <w:endnote w:id="136">
    <w:p w14:paraId="79B8349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Cappelletti MA, </w:t>
      </w:r>
      <w:proofErr w:type="spellStart"/>
      <w:r w:rsidRPr="008337A7">
        <w:rPr>
          <w:rFonts w:cs="Arial"/>
        </w:rPr>
        <w:t>Maurand</w:t>
      </w:r>
      <w:proofErr w:type="spellEnd"/>
      <w:r w:rsidRPr="008337A7">
        <w:rPr>
          <w:rFonts w:cs="Arial"/>
        </w:rPr>
        <w:t xml:space="preserve"> M, </w:t>
      </w:r>
      <w:proofErr w:type="spellStart"/>
      <w:r w:rsidRPr="008337A7">
        <w:rPr>
          <w:rFonts w:cs="Arial"/>
        </w:rPr>
        <w:t>Gatimu</w:t>
      </w:r>
      <w:proofErr w:type="spellEnd"/>
      <w:r w:rsidRPr="008337A7">
        <w:rPr>
          <w:rFonts w:cs="Arial"/>
        </w:rPr>
        <w:t xml:space="preserve"> JK, Shaw G. Exposing Reproductive Coercion: A Toolkit for Awareness-Raising, </w:t>
      </w:r>
      <w:proofErr w:type="gramStart"/>
      <w:r w:rsidRPr="008337A7">
        <w:rPr>
          <w:rFonts w:cs="Arial"/>
        </w:rPr>
        <w:t>Assessment</w:t>
      </w:r>
      <w:proofErr w:type="gramEnd"/>
      <w:r w:rsidRPr="008337A7">
        <w:rPr>
          <w:rFonts w:cs="Arial"/>
        </w:rPr>
        <w:t xml:space="preserve"> and Intervention.</w:t>
      </w:r>
    </w:p>
  </w:endnote>
  <w:endnote w:id="137">
    <w:p w14:paraId="2AC7278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Zachor</w:t>
      </w:r>
      <w:proofErr w:type="spellEnd"/>
      <w:r w:rsidRPr="008337A7">
        <w:rPr>
          <w:rFonts w:cs="Arial"/>
        </w:rPr>
        <w:t xml:space="preserve"> et al</w:t>
      </w:r>
    </w:p>
  </w:endnote>
  <w:endnote w:id="138">
    <w:p w14:paraId="354349D2"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Decker M. Transforming the Healthcare Response to Intimate Partner Violence and Taking Best Practices to Scale. </w:t>
      </w:r>
      <w:proofErr w:type="gramStart"/>
      <w:r w:rsidRPr="008337A7">
        <w:rPr>
          <w:rFonts w:cs="Arial"/>
        </w:rPr>
        <w:t>.Journal</w:t>
      </w:r>
      <w:proofErr w:type="gramEnd"/>
      <w:r w:rsidRPr="008337A7">
        <w:rPr>
          <w:rFonts w:cs="Arial"/>
        </w:rPr>
        <w:t xml:space="preserve"> of Women’s Health. Vol.21. No.12. 2012</w:t>
      </w:r>
    </w:p>
  </w:endnote>
  <w:endnote w:id="139">
    <w:p w14:paraId="7173BB7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Decker MR, </w:t>
      </w:r>
      <w:proofErr w:type="spellStart"/>
      <w:r w:rsidRPr="008337A7">
        <w:rPr>
          <w:rFonts w:cs="Arial"/>
        </w:rPr>
        <w:t>Flessa</w:t>
      </w:r>
      <w:proofErr w:type="spellEnd"/>
      <w:r w:rsidRPr="008337A7">
        <w:rPr>
          <w:rFonts w:cs="Arial"/>
        </w:rPr>
        <w:t xml:space="preserve"> S, Pillai RV, Dick RN, </w:t>
      </w:r>
      <w:proofErr w:type="spellStart"/>
      <w:r w:rsidRPr="008337A7">
        <w:rPr>
          <w:rFonts w:cs="Arial"/>
        </w:rPr>
        <w:t>Quam</w:t>
      </w:r>
      <w:proofErr w:type="spellEnd"/>
      <w:r w:rsidRPr="008337A7">
        <w:rPr>
          <w:rFonts w:cs="Arial"/>
        </w:rPr>
        <w:t xml:space="preserve"> J, Cheng D, McDonald-Mosley R, Alexander KA, Holliday CN, Miller E. Implementing Trauma-Informed Partner Violence Assessment in Family Planning Clinics. Journal of Women’s Health 2017. 26:9, 957-965</w:t>
      </w:r>
    </w:p>
  </w:endnote>
  <w:endnote w:id="140">
    <w:p w14:paraId="7FEC2E6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Decker MR et al</w:t>
      </w:r>
    </w:p>
  </w:endnote>
  <w:endnote w:id="141">
    <w:p w14:paraId="22BC313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These include The Sustainable Development Goals and Our Watch’s Change the Story framework. </w:t>
      </w:r>
    </w:p>
  </w:endnote>
  <w:endnote w:id="142">
    <w:p w14:paraId="28B87C5F"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Montesanti</w:t>
      </w:r>
      <w:proofErr w:type="spellEnd"/>
      <w:r w:rsidRPr="008337A7">
        <w:rPr>
          <w:rFonts w:cs="Arial"/>
        </w:rPr>
        <w:t xml:space="preserve"> SR, Thurston WE. Mapping the role of structural and interpersonal violence in the lives of women: implications for public health interventions and policy. BMC Women’s Health (2015) 15:100</w:t>
      </w:r>
    </w:p>
  </w:endnote>
  <w:endnote w:id="143">
    <w:p w14:paraId="4888123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Montesanti</w:t>
      </w:r>
      <w:proofErr w:type="spellEnd"/>
      <w:r w:rsidRPr="008337A7">
        <w:rPr>
          <w:rFonts w:cs="Arial"/>
        </w:rPr>
        <w:t>, Thurston</w:t>
      </w:r>
    </w:p>
  </w:endnote>
  <w:endnote w:id="144">
    <w:p w14:paraId="2730A42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Our Watch, Australia’s National Research Organisation for Women’s Safety (ANROWS) and VicHealth (2015)</w:t>
      </w:r>
    </w:p>
    <w:p w14:paraId="1017090C" w14:textId="77777777" w:rsidR="00D76477" w:rsidRPr="008337A7" w:rsidRDefault="00D76477" w:rsidP="00BE4A29">
      <w:pPr>
        <w:pStyle w:val="EndnoteText"/>
        <w:spacing w:after="120"/>
        <w:rPr>
          <w:rFonts w:cs="Arial"/>
        </w:rPr>
      </w:pPr>
      <w:r w:rsidRPr="008337A7">
        <w:rPr>
          <w:rFonts w:cs="Arial"/>
        </w:rPr>
        <w:t>Change the story: A shared framework for the primary prevention of violence against women and their children</w:t>
      </w:r>
    </w:p>
    <w:p w14:paraId="5EC2DBC3" w14:textId="77777777" w:rsidR="00D76477" w:rsidRPr="00B56730" w:rsidRDefault="00D76477" w:rsidP="00BE4A29">
      <w:pPr>
        <w:pStyle w:val="EndnoteText"/>
        <w:spacing w:after="120"/>
        <w:rPr>
          <w:rFonts w:cs="Arial"/>
        </w:rPr>
      </w:pPr>
      <w:r w:rsidRPr="00B56730">
        <w:rPr>
          <w:rFonts w:cs="Arial"/>
        </w:rPr>
        <w:t>in Australia, Our Watch, Melbourne, Australia</w:t>
      </w:r>
    </w:p>
  </w:endnote>
  <w:endnote w:id="145">
    <w:p w14:paraId="7475AFD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Hill MS, Fischer AR. Does Entitlement Mediate the Link Between Masculinity and Rape-Related Violence. Journal of Counselling Psychology 2001, Vol. 48, No. 1, 39-50</w:t>
      </w:r>
    </w:p>
  </w:endnote>
  <w:endnote w:id="146">
    <w:p w14:paraId="61E7A97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Two contributors talked about their partners as being advocates of feminism</w:t>
      </w:r>
    </w:p>
  </w:endnote>
  <w:endnote w:id="147">
    <w:p w14:paraId="0F5C21E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Leavy P (ed). 2014. Gender and Pop Culture. Sense Publishers</w:t>
      </w:r>
    </w:p>
  </w:endnote>
  <w:endnote w:id="148">
    <w:p w14:paraId="5C8D6A3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American Psychological Association, Task Force on the Sexualization of Girls. (2007).</w:t>
      </w:r>
    </w:p>
    <w:p w14:paraId="382FBA62" w14:textId="77777777" w:rsidR="00D76477" w:rsidRPr="008337A7" w:rsidRDefault="00D76477" w:rsidP="00BE4A29">
      <w:pPr>
        <w:pStyle w:val="EndnoteText"/>
        <w:spacing w:after="120"/>
        <w:rPr>
          <w:rFonts w:cs="Arial"/>
        </w:rPr>
      </w:pPr>
      <w:r w:rsidRPr="008337A7">
        <w:rPr>
          <w:rFonts w:cs="Arial"/>
        </w:rPr>
        <w:t>Report of the APA Task Force on the Sexualization of Girls. Retrieved from</w:t>
      </w:r>
    </w:p>
    <w:p w14:paraId="1A0E209D" w14:textId="77777777" w:rsidR="00D76477" w:rsidRPr="00B56730" w:rsidRDefault="00D76477" w:rsidP="00BE4A29">
      <w:pPr>
        <w:pStyle w:val="EndnoteText"/>
        <w:spacing w:after="120"/>
        <w:rPr>
          <w:rFonts w:cs="Arial"/>
        </w:rPr>
      </w:pPr>
      <w:r w:rsidRPr="00B56730">
        <w:rPr>
          <w:rFonts w:cs="Arial"/>
        </w:rPr>
        <w:t>http://www.apa.org/pi/women/programs/girls/report-full.pdf</w:t>
      </w:r>
    </w:p>
  </w:endnote>
  <w:endnote w:id="149">
    <w:p w14:paraId="2B05E6CD" w14:textId="7A394B3F" w:rsidR="00D76477" w:rsidRPr="00B56730" w:rsidRDefault="00D76477" w:rsidP="00BE4A29">
      <w:pPr>
        <w:pStyle w:val="EndnoteText"/>
        <w:spacing w:after="120"/>
        <w:rPr>
          <w:rFonts w:cs="Arial"/>
        </w:rPr>
      </w:pPr>
      <w:r w:rsidRPr="008337A7">
        <w:rPr>
          <w:rStyle w:val="EndnoteReference"/>
          <w:rFonts w:cs="Arial"/>
        </w:rPr>
        <w:endnoteRef/>
      </w:r>
      <w:r w:rsidRPr="008337A7">
        <w:rPr>
          <w:rFonts w:cs="Arial"/>
        </w:rPr>
        <w:t xml:space="preserve"> These points were specifically raised in a verbal submission from CASA House in relation to sexual violence and reproductive coercion</w:t>
      </w:r>
    </w:p>
  </w:endnote>
  <w:endnote w:id="150">
    <w:p w14:paraId="1C74100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Grace, Fleming</w:t>
      </w:r>
    </w:p>
  </w:endnote>
  <w:endnote w:id="151">
    <w:p w14:paraId="2B98AAC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Women’s Health East. No Limitations: Breaking Down Gender Stereotypes in the Early Years. Nov 2017</w:t>
      </w:r>
    </w:p>
  </w:endnote>
  <w:endnote w:id="152">
    <w:p w14:paraId="1ADD396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Brown C. The Way We Talk About Gender Can Make a Big Difference. Psychology Today, 2 March 2014</w:t>
      </w:r>
    </w:p>
  </w:endnote>
  <w:endnote w:id="153">
    <w:p w14:paraId="33F0612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Park, Jeanna et al 2014</w:t>
      </w:r>
    </w:p>
  </w:endnote>
  <w:endnote w:id="154">
    <w:p w14:paraId="27CC50F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Royal Australasian College of Physicians 2015. Position Statement: Sexual and Reproductive</w:t>
      </w:r>
    </w:p>
    <w:p w14:paraId="6449E85E" w14:textId="77777777" w:rsidR="00D76477" w:rsidRPr="008337A7" w:rsidRDefault="00D76477" w:rsidP="00BE4A29">
      <w:pPr>
        <w:pStyle w:val="EndnoteText"/>
        <w:spacing w:after="120"/>
        <w:rPr>
          <w:rFonts w:cs="Arial"/>
        </w:rPr>
      </w:pPr>
      <w:r w:rsidRPr="008337A7">
        <w:rPr>
          <w:rFonts w:cs="Arial"/>
        </w:rPr>
        <w:t>Health Care for Young People</w:t>
      </w:r>
    </w:p>
  </w:endnote>
  <w:endnote w:id="155">
    <w:p w14:paraId="02644E8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Our Watch, Australia’s National Research Organisation for Women’s Safety (ANROWS) and VicHealth (2015)</w:t>
      </w:r>
    </w:p>
    <w:p w14:paraId="5D25EFA7" w14:textId="77777777" w:rsidR="00D76477" w:rsidRPr="008337A7" w:rsidRDefault="00D76477" w:rsidP="00BE4A29">
      <w:pPr>
        <w:pStyle w:val="EndnoteText"/>
        <w:spacing w:after="120"/>
        <w:rPr>
          <w:rFonts w:cs="Arial"/>
        </w:rPr>
      </w:pPr>
      <w:r w:rsidRPr="008337A7">
        <w:rPr>
          <w:rFonts w:cs="Arial"/>
        </w:rPr>
        <w:t>Change the story: A shared framework for the primary prevention of violence against women and their children</w:t>
      </w:r>
    </w:p>
    <w:p w14:paraId="1367CC9D" w14:textId="77777777" w:rsidR="00D76477" w:rsidRPr="00B56730" w:rsidRDefault="00D76477" w:rsidP="00BE4A29">
      <w:pPr>
        <w:pStyle w:val="EndnoteText"/>
        <w:spacing w:after="120"/>
        <w:rPr>
          <w:rFonts w:cs="Arial"/>
        </w:rPr>
      </w:pPr>
      <w:r w:rsidRPr="00B56730">
        <w:rPr>
          <w:rFonts w:cs="Arial"/>
        </w:rPr>
        <w:t>in Australia, Our Watch, Melbourne, Australia.</w:t>
      </w:r>
    </w:p>
  </w:endnote>
  <w:endnote w:id="156">
    <w:p w14:paraId="10215F9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Rapana</w:t>
      </w:r>
      <w:proofErr w:type="spellEnd"/>
      <w:r w:rsidRPr="008337A7">
        <w:rPr>
          <w:rFonts w:cs="Arial"/>
        </w:rPr>
        <w:t xml:space="preserve"> J. Why You </w:t>
      </w:r>
      <w:proofErr w:type="gramStart"/>
      <w:r w:rsidRPr="008337A7">
        <w:rPr>
          <w:rFonts w:cs="Arial"/>
        </w:rPr>
        <w:t>Won’t</w:t>
      </w:r>
      <w:proofErr w:type="gramEnd"/>
      <w:r w:rsidRPr="008337A7">
        <w:rPr>
          <w:rFonts w:cs="Arial"/>
        </w:rPr>
        <w:t xml:space="preserve"> Be Seeing Ads Like This Anymore. WHIMN 2 August 2018</w:t>
      </w:r>
    </w:p>
  </w:endnote>
  <w:endnote w:id="157">
    <w:p w14:paraId="6B5C819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Khan S. Adverts that portray gender stereotypes could be banned by watchdog. The Independent UK. Thursday 17 May 2018</w:t>
      </w:r>
    </w:p>
  </w:endnote>
  <w:endnote w:id="158">
    <w:p w14:paraId="56E53D8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Screen Australia. Gender Matters. </w:t>
      </w:r>
      <w:proofErr w:type="gramStart"/>
      <w:r w:rsidRPr="008337A7">
        <w:rPr>
          <w:rFonts w:cs="Arial"/>
        </w:rPr>
        <w:t>30  Nov</w:t>
      </w:r>
      <w:proofErr w:type="gramEnd"/>
      <w:r w:rsidRPr="008337A7">
        <w:rPr>
          <w:rFonts w:cs="Arial"/>
        </w:rPr>
        <w:t xml:space="preserve"> 2017 https://www.screenaustralia.gov.au/sa/media-centre/backgrounders/2017/11-30-gender-matters</w:t>
      </w:r>
    </w:p>
  </w:endnote>
  <w:endnote w:id="159">
    <w:p w14:paraId="33752CD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Our Watch has a number of resources for journalists reporting on domestic violence, family violence and sexual violence: </w:t>
      </w:r>
      <w:hyperlink r:id="rId7" w:history="1">
        <w:r w:rsidRPr="008337A7">
          <w:rPr>
            <w:rStyle w:val="Hyperlink"/>
            <w:rFonts w:cs="Arial"/>
          </w:rPr>
          <w:t>https://www.ourwatch.org.au/news-media/reporting-guidelines</w:t>
        </w:r>
      </w:hyperlink>
      <w:r w:rsidRPr="008337A7">
        <w:rPr>
          <w:rFonts w:cs="Arial"/>
        </w:rPr>
        <w:t>. The International Federation of Journalists has developed gender equality in journalism guidelines:</w:t>
      </w:r>
      <w:hyperlink r:id="rId8" w:history="1">
        <w:r w:rsidRPr="008337A7">
          <w:rPr>
            <w:rStyle w:val="Hyperlink"/>
            <w:rFonts w:cs="Arial"/>
          </w:rPr>
          <w:t>http://unesdoc.unesco.org/images/0018/001807/180707e.pdf</w:t>
        </w:r>
      </w:hyperlink>
      <w:r w:rsidRPr="008337A7">
        <w:rPr>
          <w:rFonts w:cs="Arial"/>
        </w:rPr>
        <w:t xml:space="preserve">.   </w:t>
      </w:r>
    </w:p>
  </w:endnote>
  <w:endnote w:id="160">
    <w:p w14:paraId="3146300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Our Watch, ANROWS, VicHealth 2015</w:t>
      </w:r>
    </w:p>
  </w:endnote>
  <w:endnote w:id="161">
    <w:p w14:paraId="6CADB3BD"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Do KN, Weiss B, Pollack A. Cultural Beliefs, Intimate Partner Violence and Mental Health Functioning among Vietnamese Women. Int </w:t>
      </w:r>
      <w:proofErr w:type="spellStart"/>
      <w:r w:rsidRPr="008337A7">
        <w:rPr>
          <w:rFonts w:cs="Arial"/>
        </w:rPr>
        <w:t>Perspect</w:t>
      </w:r>
      <w:proofErr w:type="spellEnd"/>
      <w:r w:rsidRPr="008337A7">
        <w:rPr>
          <w:rFonts w:cs="Arial"/>
        </w:rPr>
        <w:t xml:space="preserve"> Psychol. 2013 July 1; 2(3)</w:t>
      </w:r>
    </w:p>
  </w:endnote>
  <w:endnote w:id="162">
    <w:p w14:paraId="5ED55E22"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Ella, personal communication about her experience in a high control Jehovah’s Witness community, October 2018</w:t>
      </w:r>
    </w:p>
  </w:endnote>
  <w:endnote w:id="163">
    <w:p w14:paraId="3A891D9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Corinthians 14.34 states let the women keep silent in the congregation for it is not permitted for them to speak. Rather let them be in subjection, so the law also says. </w:t>
      </w:r>
      <w:hyperlink r:id="rId9" w:history="1">
        <w:r w:rsidRPr="008337A7">
          <w:rPr>
            <w:rStyle w:val="Hyperlink"/>
            <w:rFonts w:cs="Arial"/>
          </w:rPr>
          <w:t>https://www.jw.org/en/publications/bible/study-bible/books/1-corinthians/14/</w:t>
        </w:r>
      </w:hyperlink>
      <w:r w:rsidRPr="008337A7">
        <w:rPr>
          <w:rFonts w:cs="Arial"/>
        </w:rPr>
        <w:t xml:space="preserve"> </w:t>
      </w:r>
    </w:p>
  </w:endnote>
  <w:endnote w:id="164">
    <w:p w14:paraId="3940D82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Data from the Pew Research Centre reveals that in North America 48% of Jehovah’s Witnesses reported a household income of less than $30,000 per year. Pew Research Centre, America’s Changing Religious Landscape, Chapter 3, 12 May 2015.</w:t>
      </w:r>
    </w:p>
  </w:endnote>
  <w:endnote w:id="165">
    <w:p w14:paraId="07B1807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Ella, personal communication about her experience in a high control Jehovah’s Witness community, October 2018</w:t>
      </w:r>
    </w:p>
  </w:endnote>
  <w:endnote w:id="166">
    <w:p w14:paraId="3F9A8B2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Both Ella and Helen emphasised the need for education </w:t>
      </w:r>
      <w:proofErr w:type="gramStart"/>
      <w:r w:rsidRPr="008337A7">
        <w:rPr>
          <w:rFonts w:cs="Arial"/>
        </w:rPr>
        <w:t>in order to</w:t>
      </w:r>
      <w:proofErr w:type="gramEnd"/>
      <w:r w:rsidRPr="008337A7">
        <w:rPr>
          <w:rFonts w:cs="Arial"/>
        </w:rPr>
        <w:t xml:space="preserve"> understand their rights, what assistance they could access and in order to access information about sexual and reproductive health once they left their respective closed communities </w:t>
      </w:r>
    </w:p>
  </w:endnote>
  <w:endnote w:id="167">
    <w:p w14:paraId="26D9584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Our Watch’s Change the Story Framework details a whole-of-community framework to address these drivers. </w:t>
      </w:r>
    </w:p>
  </w:endnote>
  <w:endnote w:id="168">
    <w:p w14:paraId="7B1C27A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Following the release of Pope Paul VI </w:t>
      </w:r>
      <w:proofErr w:type="spellStart"/>
      <w:r w:rsidRPr="008337A7">
        <w:rPr>
          <w:rFonts w:cs="Arial"/>
        </w:rPr>
        <w:t>Humanae</w:t>
      </w:r>
      <w:proofErr w:type="spellEnd"/>
      <w:r w:rsidRPr="008337A7">
        <w:rPr>
          <w:rFonts w:cs="Arial"/>
        </w:rPr>
        <w:t xml:space="preserve"> Vitae in 1968, the Catholic Church took a worldwide position that contraception was ‘inherently wrong’</w:t>
      </w:r>
    </w:p>
  </w:endnote>
  <w:endnote w:id="169">
    <w:p w14:paraId="0229402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Haffner D W. A Time </w:t>
      </w:r>
      <w:proofErr w:type="gramStart"/>
      <w:r w:rsidRPr="008337A7">
        <w:rPr>
          <w:rFonts w:cs="Arial"/>
        </w:rPr>
        <w:t>To</w:t>
      </w:r>
      <w:proofErr w:type="gramEnd"/>
      <w:r w:rsidRPr="008337A7">
        <w:rPr>
          <w:rFonts w:cs="Arial"/>
        </w:rPr>
        <w:t xml:space="preserve"> Embrace; Why the Sexual and Reproductive Justice Movement Needs Religion. Religious Institute 2015</w:t>
      </w:r>
    </w:p>
  </w:endnote>
  <w:endnote w:id="170">
    <w:p w14:paraId="038EEAF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Centre for Reproductive Rights. 2005. Religious Voices Worldwide Support Choice: Pro-choice Perspectives in Five World Religions. https://www.reproductiverights.org/sites/crr.civicactions.net/files/documents/pub_bp_tk_religious.pdf</w:t>
      </w:r>
    </w:p>
  </w:endnote>
  <w:endnote w:id="171">
    <w:p w14:paraId="455F3FB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Peprah</w:t>
      </w:r>
      <w:proofErr w:type="spellEnd"/>
      <w:r w:rsidRPr="008337A7">
        <w:rPr>
          <w:rFonts w:cs="Arial"/>
        </w:rPr>
        <w:t xml:space="preserve"> JA, Koomson I. Economic Drivers of Domestic Violence among Women: A Case Study of Ghana. Globalization and Governance in the International Political Economy. Ch13. January 2014</w:t>
      </w:r>
    </w:p>
  </w:endnote>
  <w:endnote w:id="172">
    <w:p w14:paraId="721C2EE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Aizer</w:t>
      </w:r>
      <w:proofErr w:type="spellEnd"/>
      <w:r w:rsidRPr="008337A7">
        <w:rPr>
          <w:rFonts w:cs="Arial"/>
        </w:rPr>
        <w:t xml:space="preserve"> A. The Gender Wage Gap and Domestic Violence. Am Econ Rev. 2010 September; 100(4): 1847-1859</w:t>
      </w:r>
    </w:p>
  </w:endnote>
  <w:endnote w:id="173">
    <w:p w14:paraId="3E4026C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Aizer</w:t>
      </w:r>
      <w:proofErr w:type="spellEnd"/>
      <w:r w:rsidRPr="008337A7">
        <w:rPr>
          <w:rFonts w:cs="Arial"/>
        </w:rPr>
        <w:t xml:space="preserve"> shows that pay parity reduces violence in the household and specifically has better health outcomes for the woman. </w:t>
      </w:r>
      <w:proofErr w:type="spellStart"/>
      <w:r w:rsidRPr="008337A7">
        <w:rPr>
          <w:rFonts w:cs="Arial"/>
        </w:rPr>
        <w:t>Aizer</w:t>
      </w:r>
      <w:proofErr w:type="spellEnd"/>
      <w:r w:rsidRPr="008337A7">
        <w:rPr>
          <w:rFonts w:cs="Arial"/>
        </w:rPr>
        <w:t xml:space="preserve"> also posits that given there is a better health outcome for women, there is likely to be a better health outcome for children. </w:t>
      </w:r>
    </w:p>
  </w:endnote>
  <w:endnote w:id="174">
    <w:p w14:paraId="3E1CE95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National Social Security Rights Network published How well does Australia’s social security system support victims of family and domestic violence? in 2010. The study found that controlling partners can use the tax system including delaying tax returns as a means of delaying child support. The study also found that assessment of couples under the Family Tax Benefit schemes can often unfairly penalise the partner experiencing violence. </w:t>
      </w:r>
    </w:p>
  </w:endnote>
  <w:endnote w:id="175">
    <w:p w14:paraId="762FFC1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Brocklehurst S. What is the child tax credit ‘rape clause’? BBC News Scotland. 20 April 2017 https://www.bbc.com/news/uk-scotland-scotland-politics-39652791</w:t>
      </w:r>
    </w:p>
  </w:endnote>
  <w:endnote w:id="176">
    <w:p w14:paraId="29E76151"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Glosswitch</w:t>
      </w:r>
      <w:proofErr w:type="spellEnd"/>
      <w:r w:rsidRPr="008337A7">
        <w:rPr>
          <w:rFonts w:cs="Arial"/>
        </w:rPr>
        <w:t xml:space="preserve">. While you celebrate the third royal baby, remember </w:t>
      </w:r>
      <w:proofErr w:type="gramStart"/>
      <w:r w:rsidRPr="008337A7">
        <w:rPr>
          <w:rFonts w:cs="Arial"/>
        </w:rPr>
        <w:t>all of</w:t>
      </w:r>
      <w:proofErr w:type="gramEnd"/>
      <w:r w:rsidRPr="008337A7">
        <w:rPr>
          <w:rFonts w:cs="Arial"/>
        </w:rPr>
        <w:t xml:space="preserve"> the women in Britain who aren’t allowed a third child. The Independent UK. Monday 4 September 2017</w:t>
      </w:r>
    </w:p>
  </w:endnote>
  <w:endnote w:id="177">
    <w:p w14:paraId="2C8D1B3F"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Royal College of Midwives. Statement: The child tax credit cap and the ‘rape clause’. 2017</w:t>
      </w:r>
    </w:p>
  </w:endnote>
  <w:endnote w:id="178">
    <w:p w14:paraId="3C5B09E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Revesz</w:t>
      </w:r>
      <w:proofErr w:type="spellEnd"/>
      <w:r w:rsidRPr="008337A7">
        <w:rPr>
          <w:rFonts w:cs="Arial"/>
        </w:rPr>
        <w:t xml:space="preserve"> R. The damaging legacy of the rape clause for three or more children. The Independent UK. Friday 6 April 2018</w:t>
      </w:r>
    </w:p>
  </w:endnote>
  <w:endnote w:id="179">
    <w:p w14:paraId="0B98418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Stotsky</w:t>
      </w:r>
      <w:proofErr w:type="spellEnd"/>
      <w:r w:rsidRPr="008337A7">
        <w:rPr>
          <w:rFonts w:cs="Arial"/>
        </w:rPr>
        <w:t xml:space="preserve"> JG. How Tas Systems Treat Men and Women Differently. Finance and Development/ March 1997</w:t>
      </w:r>
    </w:p>
  </w:endnote>
  <w:endnote w:id="180">
    <w:p w14:paraId="6B16CAF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Hutchens G. Pink and blue forms: is gender-based tax </w:t>
      </w:r>
      <w:proofErr w:type="gramStart"/>
      <w:r w:rsidRPr="008337A7">
        <w:rPr>
          <w:rFonts w:cs="Arial"/>
        </w:rPr>
        <w:t>really as</w:t>
      </w:r>
      <w:proofErr w:type="gramEnd"/>
      <w:r w:rsidRPr="008337A7">
        <w:rPr>
          <w:rFonts w:cs="Arial"/>
        </w:rPr>
        <w:t xml:space="preserve"> crazy as it sounds? The Guardian. Friday 8 June 2018</w:t>
      </w:r>
    </w:p>
  </w:endnote>
  <w:endnote w:id="181">
    <w:p w14:paraId="6475F17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Stotsky</w:t>
      </w:r>
      <w:proofErr w:type="spellEnd"/>
      <w:r w:rsidRPr="008337A7">
        <w:rPr>
          <w:rFonts w:cs="Arial"/>
        </w:rPr>
        <w:t xml:space="preserve"> JG</w:t>
      </w:r>
    </w:p>
  </w:endnote>
  <w:endnote w:id="182">
    <w:p w14:paraId="1BBCA2C5" w14:textId="77777777" w:rsidR="00D76477" w:rsidRPr="00B56730" w:rsidRDefault="00D76477" w:rsidP="00BE4A29">
      <w:pPr>
        <w:pStyle w:val="EndnoteText"/>
        <w:spacing w:after="120"/>
        <w:rPr>
          <w:rFonts w:cs="Arial"/>
        </w:rPr>
      </w:pPr>
      <w:r w:rsidRPr="008337A7">
        <w:rPr>
          <w:rStyle w:val="EndnoteReference"/>
          <w:rFonts w:cs="Arial"/>
        </w:rPr>
        <w:endnoteRef/>
      </w:r>
      <w:r w:rsidRPr="008337A7">
        <w:rPr>
          <w:rFonts w:cs="Arial"/>
        </w:rPr>
        <w:t xml:space="preserve"> In November 2016, the Finance and Public Administration References Committee of the Australian Senate published its findings on domestic violence and gender inequality in Australia. The committee investigated </w:t>
      </w:r>
      <w:proofErr w:type="gramStart"/>
      <w:r w:rsidRPr="008337A7">
        <w:rPr>
          <w:rFonts w:cs="Arial"/>
        </w:rPr>
        <w:t>a number of</w:t>
      </w:r>
      <w:proofErr w:type="gramEnd"/>
      <w:r w:rsidRPr="008337A7">
        <w:rPr>
          <w:rFonts w:cs="Arial"/>
        </w:rPr>
        <w:t xml:space="preserve"> areas including the economic drivers of both gender inequality and domestic violence. The report included evidence of the gender pay gap and highlighted the gendered issues of unpaid work that can often mean women have lower workforce participation rates, leading to long term financial insecurity. The report is published online: https://www.aph.gov.au/Parliamentary_Bu</w:t>
      </w:r>
      <w:r w:rsidRPr="00B56730">
        <w:rPr>
          <w:rFonts w:cs="Arial"/>
        </w:rPr>
        <w:t>siness/Committees/Senate/Finance_and_Public_Administration/DVgenderinequality/Report</w:t>
      </w:r>
    </w:p>
  </w:endnote>
  <w:endnote w:id="183">
    <w:p w14:paraId="2EBD18D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Centre for Reproductive Rights. A Tool for Monitoring State Obligations. UNFPA. </w:t>
      </w:r>
      <w:hyperlink r:id="rId10" w:history="1">
        <w:r w:rsidRPr="008337A7">
          <w:rPr>
            <w:rStyle w:val="Hyperlink"/>
            <w:rFonts w:cs="Arial"/>
          </w:rPr>
          <w:t>https://www.reproductiverights.org/sites/crr.civicactions.net/files/documents/crr_Monitoring_Tool_State_Obligations.pdf</w:t>
        </w:r>
      </w:hyperlink>
      <w:r w:rsidRPr="008337A7">
        <w:rPr>
          <w:rFonts w:cs="Arial"/>
        </w:rPr>
        <w:t xml:space="preserve"> Accessed 1 October 2018</w:t>
      </w:r>
    </w:p>
  </w:endnote>
  <w:endnote w:id="184">
    <w:p w14:paraId="276DB4B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Australian Institute of Health and Welfare 2018. Australia’s health 2018. Australia’s health series no. 16. AUS 221. Canberra: AIHW.</w:t>
      </w:r>
    </w:p>
  </w:endnote>
  <w:endnote w:id="185">
    <w:p w14:paraId="36BA791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Australian Medical Association. Position Statement on Sexual and Reproductive Health. July 2014. https://ama.com.au/position-statement/sexual-and-reproductive-health-2014</w:t>
      </w:r>
    </w:p>
  </w:endnote>
  <w:endnote w:id="186">
    <w:p w14:paraId="2AC4526E"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Starrs</w:t>
      </w:r>
      <w:proofErr w:type="spellEnd"/>
      <w:r w:rsidRPr="008337A7">
        <w:rPr>
          <w:rFonts w:cs="Arial"/>
        </w:rPr>
        <w:t xml:space="preserve"> AM, </w:t>
      </w:r>
      <w:proofErr w:type="spellStart"/>
      <w:r w:rsidRPr="008337A7">
        <w:rPr>
          <w:rFonts w:cs="Arial"/>
        </w:rPr>
        <w:t>Ezeh</w:t>
      </w:r>
      <w:proofErr w:type="spellEnd"/>
      <w:r w:rsidRPr="008337A7">
        <w:rPr>
          <w:rFonts w:cs="Arial"/>
        </w:rPr>
        <w:t xml:space="preserve"> AC, Barker G et al., (2018). Accelerate progress—sexual and reproductive health and rights for all: report of the Guttmacher–Lancet Commission, The Lancet, 18:30293-9. (published online)</w:t>
      </w:r>
    </w:p>
  </w:endnote>
  <w:endnote w:id="187">
    <w:p w14:paraId="489B0F1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Tasmanian Government Media Release. Surgical Termination of Pregnancy Service. 24 October 2018. http://www.premier.tas.gov.au/releases/surgical_termination_of_pregnancy_services</w:t>
      </w:r>
    </w:p>
  </w:endnote>
  <w:endnote w:id="188">
    <w:p w14:paraId="7F9EC9FB"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Women’s Health West 2016, The health inequities of sexual and reproductive health: A review of the literature, Women’s Health West, Melbourne</w:t>
      </w:r>
    </w:p>
  </w:endnote>
  <w:endnote w:id="189">
    <w:p w14:paraId="09B7A037"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Vinall</w:t>
      </w:r>
      <w:proofErr w:type="spellEnd"/>
      <w:r w:rsidRPr="008337A7">
        <w:rPr>
          <w:rFonts w:cs="Arial"/>
        </w:rPr>
        <w:t xml:space="preserve"> F, Analysing the state’s surgical abortion situation after 11-month delay, The Examiner, 18 Nov 2018</w:t>
      </w:r>
    </w:p>
  </w:endnote>
  <w:endnote w:id="190">
    <w:p w14:paraId="648A258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Starrs</w:t>
      </w:r>
      <w:proofErr w:type="spellEnd"/>
      <w:r w:rsidRPr="008337A7">
        <w:rPr>
          <w:rFonts w:cs="Arial"/>
        </w:rPr>
        <w:t xml:space="preserve"> et al 2018</w:t>
      </w:r>
    </w:p>
  </w:endnote>
  <w:endnote w:id="191">
    <w:p w14:paraId="22CEE48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ABC Background Briefing recently aired a story about the issue of inconsistency in abortion laws, regulations and services across Australia that penalise women accessing termination of pregnancy services based on where they live: https://www.abc.net.au/radionational/programs/backgroundbriefing/the-clinic-of-last-resort/10205912</w:t>
      </w:r>
    </w:p>
  </w:endnote>
  <w:endnote w:id="192">
    <w:p w14:paraId="76217D6F"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Marie Stopes Australia has heard numerous accounts from patients who have been unable to access termination of pregnancy services in States where it is criminalised. As part of the community consultation for the Termination of Pregnancy Bill 2018 in Queensland, </w:t>
      </w:r>
      <w:proofErr w:type="gramStart"/>
      <w:r w:rsidRPr="008337A7">
        <w:rPr>
          <w:rFonts w:cs="Arial"/>
        </w:rPr>
        <w:t>a number of</w:t>
      </w:r>
      <w:proofErr w:type="gramEnd"/>
      <w:r w:rsidRPr="008337A7">
        <w:rPr>
          <w:rFonts w:cs="Arial"/>
        </w:rPr>
        <w:t xml:space="preserve"> women told of the barriers they experienced due to criminality of abortion: https://www.theguardian.com/world/2018/oct/14/you-were-shamed-punished-queensland-changes-its-mind-on-abortion</w:t>
      </w:r>
    </w:p>
  </w:endnote>
  <w:endnote w:id="193">
    <w:p w14:paraId="7DD5F13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Mackee</w:t>
      </w:r>
      <w:proofErr w:type="spellEnd"/>
      <w:r w:rsidRPr="008337A7">
        <w:rPr>
          <w:rFonts w:cs="Arial"/>
        </w:rPr>
        <w:t xml:space="preserve"> N. Unintended Pregnancy Rates Astonishing. Issue 39 / 8 October 2018</w:t>
      </w:r>
    </w:p>
  </w:endnote>
  <w:endnote w:id="194">
    <w:p w14:paraId="1394191C"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Silverman 2014</w:t>
      </w:r>
    </w:p>
  </w:endnote>
  <w:endnote w:id="195">
    <w:p w14:paraId="3394155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Starrs</w:t>
      </w:r>
      <w:proofErr w:type="spellEnd"/>
      <w:r w:rsidRPr="008337A7">
        <w:rPr>
          <w:rFonts w:cs="Arial"/>
        </w:rPr>
        <w:t xml:space="preserve"> AM, </w:t>
      </w:r>
      <w:proofErr w:type="spellStart"/>
      <w:r w:rsidRPr="008337A7">
        <w:rPr>
          <w:rFonts w:cs="Arial"/>
        </w:rPr>
        <w:t>Ezeh</w:t>
      </w:r>
      <w:proofErr w:type="spellEnd"/>
      <w:r w:rsidRPr="008337A7">
        <w:rPr>
          <w:rFonts w:cs="Arial"/>
        </w:rPr>
        <w:t xml:space="preserve"> AC, Barker G et al., Accelerate progress—sexual and reproductive health and rights for all: report of the Guttmacher–Lancet Commission, The Lancet, 2018.</w:t>
      </w:r>
    </w:p>
  </w:endnote>
  <w:endnote w:id="196">
    <w:p w14:paraId="5302D5F0" w14:textId="7E29E8B3" w:rsidR="00D76477" w:rsidRPr="00B56730" w:rsidRDefault="00D76477" w:rsidP="00BE4A29">
      <w:pPr>
        <w:pStyle w:val="EndnoteText"/>
        <w:spacing w:after="120"/>
        <w:rPr>
          <w:rFonts w:cs="Arial"/>
        </w:rPr>
      </w:pPr>
      <w:r w:rsidRPr="008337A7">
        <w:rPr>
          <w:rStyle w:val="EndnoteReference"/>
          <w:rFonts w:cs="Arial"/>
        </w:rPr>
        <w:endnoteRef/>
      </w:r>
      <w:r w:rsidRPr="008337A7">
        <w:rPr>
          <w:rFonts w:cs="Arial"/>
        </w:rPr>
        <w:t xml:space="preserve"> A contribution to this </w:t>
      </w:r>
      <w:r>
        <w:rPr>
          <w:rFonts w:cs="Arial"/>
        </w:rPr>
        <w:t>w</w:t>
      </w:r>
      <w:r w:rsidRPr="008337A7">
        <w:rPr>
          <w:rFonts w:cs="Arial"/>
        </w:rPr>
        <w:t xml:space="preserve">hite </w:t>
      </w:r>
      <w:r>
        <w:rPr>
          <w:rFonts w:cs="Arial"/>
        </w:rPr>
        <w:t>p</w:t>
      </w:r>
      <w:r w:rsidRPr="008337A7">
        <w:rPr>
          <w:rFonts w:cs="Arial"/>
        </w:rPr>
        <w:t xml:space="preserve">aper from HWL Lawyers highlighted </w:t>
      </w:r>
      <w:proofErr w:type="gramStart"/>
      <w:r w:rsidRPr="008337A7">
        <w:rPr>
          <w:rFonts w:cs="Arial"/>
        </w:rPr>
        <w:t>a number of</w:t>
      </w:r>
      <w:proofErr w:type="gramEnd"/>
      <w:r w:rsidRPr="008337A7">
        <w:rPr>
          <w:rFonts w:cs="Arial"/>
        </w:rPr>
        <w:t xml:space="preserve"> laws that can address RC. HWL’s contribution was based on Victorian laws. </w:t>
      </w:r>
      <w:proofErr w:type="gramStart"/>
      <w:r w:rsidRPr="008337A7">
        <w:rPr>
          <w:rFonts w:cs="Arial"/>
        </w:rPr>
        <w:t>However</w:t>
      </w:r>
      <w:proofErr w:type="gramEnd"/>
      <w:r w:rsidRPr="008337A7">
        <w:rPr>
          <w:rFonts w:cs="Arial"/>
        </w:rPr>
        <w:t xml:space="preserve"> the laws relevant to reproductive coercion </w:t>
      </w:r>
      <w:r w:rsidRPr="00B56730">
        <w:rPr>
          <w:rFonts w:cs="Arial"/>
        </w:rPr>
        <w:t xml:space="preserve">are similar in other states.  </w:t>
      </w:r>
    </w:p>
  </w:endnote>
  <w:endnote w:id="197">
    <w:p w14:paraId="2ED6284A" w14:textId="77D80625" w:rsidR="00D76477" w:rsidRPr="00B56730"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submission from HWL Ebsworth Lawyers specifically focused on the issue of consent as it relates to reproductive coercion. Taking the Victo</w:t>
      </w:r>
      <w:r w:rsidRPr="00B56730">
        <w:rPr>
          <w:rFonts w:cs="Arial"/>
        </w:rPr>
        <w:t xml:space="preserve">rian laws as an example there are </w:t>
      </w:r>
      <w:proofErr w:type="gramStart"/>
      <w:r w:rsidRPr="00B56730">
        <w:rPr>
          <w:rFonts w:cs="Arial"/>
        </w:rPr>
        <w:t>a number of</w:t>
      </w:r>
      <w:proofErr w:type="gramEnd"/>
      <w:r w:rsidRPr="00B56730">
        <w:rPr>
          <w:rFonts w:cs="Arial"/>
        </w:rPr>
        <w:t xml:space="preserve"> existing laws that can respond to the issue of reproductive coercion from the perspective of the victim/ perpetrator. </w:t>
      </w:r>
    </w:p>
  </w:endnote>
  <w:endnote w:id="198">
    <w:p w14:paraId="68D4590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Under the Crimes Act 1958 (Vic) consent is not given is the person submitting to the act is forced or fears force; fears harm to themselves or someone else; is unlawfully detained; asleep or unconscious; affected by drugs or alcohol; the person is mistaken about the nature of the sexual act; the person does not say or do anything to indicate consent; or the person later withdraws consent.</w:t>
      </w:r>
    </w:p>
  </w:endnote>
  <w:endnote w:id="199">
    <w:p w14:paraId="35683996"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Victorian Crimes Act defines injury as “physical injury or hard to mental health whether temporary or permanent”.  According to the submission from HWL Ebsworth, pregnancy and birth can be classified as harm in a civil claim. There is also a common law acceptance that pregnancy and birth can constitute an injury (see </w:t>
      </w:r>
      <w:proofErr w:type="spellStart"/>
      <w:r w:rsidRPr="008337A7">
        <w:rPr>
          <w:rFonts w:cs="Arial"/>
        </w:rPr>
        <w:t>Cattanach</w:t>
      </w:r>
      <w:proofErr w:type="spellEnd"/>
      <w:r w:rsidRPr="008337A7">
        <w:rPr>
          <w:rFonts w:cs="Arial"/>
        </w:rPr>
        <w:t xml:space="preserve"> v </w:t>
      </w:r>
      <w:proofErr w:type="spellStart"/>
      <w:r w:rsidRPr="008337A7">
        <w:rPr>
          <w:rFonts w:cs="Arial"/>
        </w:rPr>
        <w:t>Melchoir</w:t>
      </w:r>
      <w:proofErr w:type="spellEnd"/>
      <w:r w:rsidRPr="008337A7">
        <w:rPr>
          <w:rFonts w:cs="Arial"/>
        </w:rPr>
        <w:t xml:space="preserve"> [2003] HCA 38 at 148</w:t>
      </w:r>
    </w:p>
  </w:endnote>
  <w:endnote w:id="200">
    <w:p w14:paraId="7A75F360"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w:t>
      </w:r>
      <w:proofErr w:type="spellStart"/>
      <w:r w:rsidRPr="008337A7">
        <w:rPr>
          <w:rFonts w:cs="Arial"/>
        </w:rPr>
        <w:t>Stealthing</w:t>
      </w:r>
      <w:proofErr w:type="spellEnd"/>
      <w:r w:rsidRPr="008337A7">
        <w:rPr>
          <w:rFonts w:cs="Arial"/>
        </w:rPr>
        <w:t xml:space="preserve"> is the deliberate removal of a condom during sex without the consent of the partner.</w:t>
      </w:r>
    </w:p>
  </w:endnote>
  <w:endnote w:id="201">
    <w:p w14:paraId="1A069972"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Victorian Crimes Act defines assault as the indirect or direct application of force to a person (body, clothing etc) where the application of force is without lawful excuse; and with intent to inflict or being reckless as to the infliction of bodily pain, injury etc. In the case of </w:t>
      </w:r>
      <w:proofErr w:type="spellStart"/>
      <w:r w:rsidRPr="008337A7">
        <w:rPr>
          <w:rFonts w:cs="Arial"/>
        </w:rPr>
        <w:t>stealthing</w:t>
      </w:r>
      <w:proofErr w:type="spellEnd"/>
      <w:r w:rsidRPr="008337A7">
        <w:rPr>
          <w:rFonts w:cs="Arial"/>
        </w:rPr>
        <w:t xml:space="preserve">, the application of force is the sexual </w:t>
      </w:r>
      <w:proofErr w:type="gramStart"/>
      <w:r w:rsidRPr="008337A7">
        <w:rPr>
          <w:rFonts w:cs="Arial"/>
        </w:rPr>
        <w:t>act</w:t>
      </w:r>
      <w:proofErr w:type="gramEnd"/>
      <w:r w:rsidRPr="008337A7">
        <w:rPr>
          <w:rFonts w:cs="Arial"/>
        </w:rPr>
        <w:t xml:space="preserve"> and the injury is forced pregnancy. </w:t>
      </w:r>
    </w:p>
  </w:endnote>
  <w:endnote w:id="202">
    <w:p w14:paraId="0A396FBA"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Under the Victorian Crimes Act, a person commits an offence is they make a false or misleading representation; know that the representation is false or misleading (or probably know); as a result of the representation the victim takes part in the sexual act; intends that this will occur as a result of their representation. </w:t>
      </w:r>
    </w:p>
  </w:endnote>
  <w:endnote w:id="203">
    <w:p w14:paraId="587FE6B8"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Family Protection Act defines FV as behaviour that is, among other things, physically or sexually abusive; coercive or in any other way controls or dominates the family member and causes them to feel fear for their safety and wellbeing. </w:t>
      </w:r>
    </w:p>
  </w:endnote>
  <w:endnote w:id="204">
    <w:p w14:paraId="3DC30ADE" w14:textId="3570B0E1" w:rsidR="00D76477" w:rsidRPr="00D771BE"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Status of Children Act 1974 (Vic) states that “a child born to a woman during her marriage or within ten months after the marriage has been dissolved by death or otherwise, shall, in absence of evidence to the contrary, be presumed to be the child of its mother and her husband, or former husband, as the case may be.”  According to the submission by HWL Ebsworth, the original intent of the law was to establish parental rights. </w:t>
      </w:r>
      <w:proofErr w:type="gramStart"/>
      <w:r w:rsidRPr="008337A7">
        <w:rPr>
          <w:rFonts w:cs="Arial"/>
        </w:rPr>
        <w:t>However</w:t>
      </w:r>
      <w:proofErr w:type="gramEnd"/>
      <w:r w:rsidRPr="008337A7">
        <w:rPr>
          <w:rFonts w:cs="Arial"/>
        </w:rPr>
        <w:t xml:space="preserve"> in the case of reproductive coercion</w:t>
      </w:r>
      <w:r w:rsidRPr="00B56730">
        <w:rPr>
          <w:rFonts w:cs="Arial"/>
        </w:rPr>
        <w:t xml:space="preserve"> (or IPV and FV) it can bond an ab</w:t>
      </w:r>
      <w:r w:rsidRPr="00D771BE">
        <w:rPr>
          <w:rFonts w:cs="Arial"/>
        </w:rPr>
        <w:t xml:space="preserve">usive partner to the mother. </w:t>
      </w:r>
    </w:p>
  </w:endnote>
  <w:endnote w:id="205">
    <w:p w14:paraId="7E84C14F" w14:textId="59577AF5" w:rsidR="00D76477" w:rsidRPr="00D771BE" w:rsidRDefault="00D76477" w:rsidP="00BE4A29">
      <w:pPr>
        <w:pStyle w:val="EndnoteText"/>
        <w:spacing w:after="120"/>
        <w:rPr>
          <w:rFonts w:cs="Arial"/>
        </w:rPr>
      </w:pPr>
      <w:r w:rsidRPr="008337A7">
        <w:rPr>
          <w:rStyle w:val="EndnoteReference"/>
          <w:rFonts w:cs="Arial"/>
        </w:rPr>
        <w:endnoteRef/>
      </w:r>
      <w:r w:rsidRPr="008337A7">
        <w:rPr>
          <w:rFonts w:cs="Arial"/>
        </w:rPr>
        <w:t xml:space="preserve"> HWL Ebsworth’s submission highlights that this can either be done by an amendment to the definition of in</w:t>
      </w:r>
      <w:r>
        <w:rPr>
          <w:rFonts w:cs="Arial"/>
        </w:rPr>
        <w:t>j</w:t>
      </w:r>
      <w:r w:rsidRPr="008337A7">
        <w:rPr>
          <w:rFonts w:cs="Arial"/>
        </w:rPr>
        <w:t xml:space="preserve">ury, or it may happen on its own by the framing of reproductive coercion </w:t>
      </w:r>
      <w:r w:rsidRPr="00B56730">
        <w:rPr>
          <w:rFonts w:cs="Arial"/>
        </w:rPr>
        <w:t>as a criminal offence using the existing r</w:t>
      </w:r>
      <w:r w:rsidRPr="00D771BE">
        <w:rPr>
          <w:rFonts w:cs="Arial"/>
        </w:rPr>
        <w:t xml:space="preserve">elevant laws. </w:t>
      </w:r>
    </w:p>
  </w:endnote>
  <w:endnote w:id="206">
    <w:p w14:paraId="45F8EBA9"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Norman J. My Health Record: Greg Hunt to strengthen penalties for misusing patient data, addressing Senate's concerns. ABC News 8 November 2018</w:t>
      </w:r>
    </w:p>
  </w:endnote>
  <w:endnote w:id="207">
    <w:p w14:paraId="456DE226" w14:textId="4312D623" w:rsidR="00D76477" w:rsidRDefault="00D76477">
      <w:pPr>
        <w:pStyle w:val="EndnoteText"/>
      </w:pPr>
      <w:r>
        <w:rPr>
          <w:rStyle w:val="EndnoteReference"/>
        </w:rPr>
        <w:endnoteRef/>
      </w:r>
      <w:r>
        <w:t xml:space="preserve"> </w:t>
      </w:r>
      <w:r>
        <w:rPr>
          <w:lang w:val="en-US"/>
        </w:rPr>
        <w:t xml:space="preserve"> </w:t>
      </w:r>
      <w:r w:rsidRPr="00BE4A29">
        <w:t>A number of researchers are progressing qualitative work in</w:t>
      </w:r>
      <w:r>
        <w:t xml:space="preserve"> Australia directly or indirectly in</w:t>
      </w:r>
      <w:r w:rsidRPr="00BE4A29">
        <w:t xml:space="preserve"> this area, including</w:t>
      </w:r>
      <w:r>
        <w:t xml:space="preserve"> Professor</w:t>
      </w:r>
      <w:r w:rsidRPr="00BE4A29">
        <w:t xml:space="preserve"> </w:t>
      </w:r>
      <w:r>
        <w:t xml:space="preserve">Kerry </w:t>
      </w:r>
      <w:proofErr w:type="spellStart"/>
      <w:r>
        <w:t>Arabena</w:t>
      </w:r>
      <w:proofErr w:type="spellEnd"/>
      <w:r>
        <w:t>,</w:t>
      </w:r>
      <w:r w:rsidRPr="0068340D">
        <w:t xml:space="preserve"> </w:t>
      </w:r>
      <w:r>
        <w:t xml:space="preserve">Professor Kathleen Baird, </w:t>
      </w:r>
      <w:r>
        <w:rPr>
          <w:rStyle w:val="acopre"/>
        </w:rPr>
        <w:t xml:space="preserve">Professor </w:t>
      </w:r>
      <w:r w:rsidRPr="00BE4A29">
        <w:rPr>
          <w:rStyle w:val="Emphasis"/>
          <w:i w:val="0"/>
        </w:rPr>
        <w:t>Kirsten Black,</w:t>
      </w:r>
      <w:r w:rsidRPr="0068340D">
        <w:t xml:space="preserve"> </w:t>
      </w:r>
      <w:r>
        <w:rPr>
          <w:rStyle w:val="css-901oao"/>
        </w:rPr>
        <w:t xml:space="preserve">Brenna Bernardino, Tina Dixson, </w:t>
      </w:r>
      <w:r>
        <w:t xml:space="preserve">Professor Heather Douglas, Dr William </w:t>
      </w:r>
      <w:proofErr w:type="spellStart"/>
      <w:r>
        <w:t>Liley</w:t>
      </w:r>
      <w:proofErr w:type="spellEnd"/>
      <w:r>
        <w:t xml:space="preserve">, </w:t>
      </w:r>
      <w:r w:rsidRPr="00043E69">
        <w:t xml:space="preserve">Lydia </w:t>
      </w:r>
      <w:proofErr w:type="spellStart"/>
      <w:r w:rsidRPr="00043E69">
        <w:t>Mainey</w:t>
      </w:r>
      <w:proofErr w:type="spellEnd"/>
      <w:r>
        <w:t xml:space="preserve">, Sarah Ratcliffe, Dr </w:t>
      </w:r>
      <w:r w:rsidRPr="00C70FCA">
        <w:t>Nicola Sheeran,</w:t>
      </w:r>
      <w:r>
        <w:t xml:space="preserve"> Dr Anne Stephens,</w:t>
      </w:r>
      <w:r w:rsidRPr="0068340D">
        <w:t xml:space="preserve"> </w:t>
      </w:r>
      <w:r>
        <w:t>Dr Georgina Sutherland,</w:t>
      </w:r>
      <w:r w:rsidRPr="00C70FCA">
        <w:t xml:space="preserve"> </w:t>
      </w:r>
      <w:r>
        <w:t xml:space="preserve">Professor Angela Taft, Dr </w:t>
      </w:r>
      <w:r w:rsidRPr="00BE4A29">
        <w:t xml:space="preserve">Laura </w:t>
      </w:r>
      <w:proofErr w:type="spellStart"/>
      <w:r w:rsidRPr="00BE4A29">
        <w:t>Tarzia</w:t>
      </w:r>
      <w:proofErr w:type="spellEnd"/>
      <w:r w:rsidRPr="00BE4A29">
        <w:t>,</w:t>
      </w:r>
      <w:r>
        <w:t xml:space="preserve"> and</w:t>
      </w:r>
      <w:r w:rsidRPr="00BE4A29">
        <w:t xml:space="preserve"> Molly Wellington</w:t>
      </w:r>
      <w:r>
        <w:t>. Papers published in 2019 and 2020 that involve Australian qualitative research include:</w:t>
      </w:r>
    </w:p>
    <w:p w14:paraId="748512C7" w14:textId="77777777" w:rsidR="00D76477" w:rsidRDefault="00D76477">
      <w:pPr>
        <w:pStyle w:val="EndnoteText"/>
      </w:pPr>
    </w:p>
    <w:p w14:paraId="0B2E6663" w14:textId="77777777" w:rsidR="00D76477" w:rsidRDefault="00D76477" w:rsidP="00BE4A29">
      <w:pPr>
        <w:pStyle w:val="EndnoteText"/>
        <w:spacing w:after="120"/>
      </w:pPr>
      <w:r>
        <w:t xml:space="preserve">Buchanan, F., &amp; Humphreys, C. (2020). Coercive Control During Pregnancy, Birthing and Postpartum: Women’s Experiences and Perspectives on Health Practitioners’ Responses. </w:t>
      </w:r>
      <w:r>
        <w:rPr>
          <w:i/>
          <w:iCs/>
        </w:rPr>
        <w:t>Journal of Family Violence</w:t>
      </w:r>
      <w:r>
        <w:t>, 1-11.</w:t>
      </w:r>
    </w:p>
    <w:p w14:paraId="4E5C3090" w14:textId="724CE65D" w:rsidR="00D76477" w:rsidRDefault="00D76477" w:rsidP="00BE4A29">
      <w:pPr>
        <w:pStyle w:val="EndnoteText"/>
        <w:spacing w:after="120"/>
      </w:pPr>
      <w:r>
        <w:t xml:space="preserve">Frawley, P., &amp; O’Shea, A. (2020). ‘Nothing about us without us’: Sex Education by and for People with Intellectual Disability in Australia. </w:t>
      </w:r>
      <w:r>
        <w:rPr>
          <w:i/>
          <w:iCs/>
        </w:rPr>
        <w:t>Sex Education</w:t>
      </w:r>
      <w:r>
        <w:t xml:space="preserve">, </w:t>
      </w:r>
      <w:r>
        <w:rPr>
          <w:i/>
          <w:iCs/>
        </w:rPr>
        <w:t>20</w:t>
      </w:r>
      <w:r>
        <w:t>(4), 413-424.</w:t>
      </w:r>
    </w:p>
    <w:p w14:paraId="48CD388E" w14:textId="69F3F072" w:rsidR="00D76477" w:rsidRDefault="00D76477" w:rsidP="00BE4A29">
      <w:pPr>
        <w:pStyle w:val="EndnoteText"/>
        <w:spacing w:after="120"/>
      </w:pPr>
      <w:r>
        <w:t xml:space="preserve">Griffiths, E., Atkinson, D., </w:t>
      </w:r>
      <w:proofErr w:type="spellStart"/>
      <w:r>
        <w:t>Friello</w:t>
      </w:r>
      <w:proofErr w:type="spellEnd"/>
      <w:r>
        <w:t xml:space="preserve">, D., &amp; Marley, J. V. (2019). Pregnancy intentions in a group of remote-dwelling Australian Aboriginal women: a qualitative exploration of formation, </w:t>
      </w:r>
      <w:proofErr w:type="gramStart"/>
      <w:r>
        <w:t>expression</w:t>
      </w:r>
      <w:proofErr w:type="gramEnd"/>
      <w:r>
        <w:t xml:space="preserve"> and implications for clinical practice. </w:t>
      </w:r>
      <w:r>
        <w:rPr>
          <w:i/>
          <w:iCs/>
        </w:rPr>
        <w:t>BMC public health</w:t>
      </w:r>
      <w:r>
        <w:t xml:space="preserve">, </w:t>
      </w:r>
      <w:r>
        <w:rPr>
          <w:i/>
          <w:iCs/>
        </w:rPr>
        <w:t>19</w:t>
      </w:r>
      <w:r>
        <w:t>(1), 568.</w:t>
      </w:r>
    </w:p>
    <w:p w14:paraId="749E547E" w14:textId="4718D07A" w:rsidR="00D76477" w:rsidRDefault="00D76477" w:rsidP="00BE4A29">
      <w:pPr>
        <w:pStyle w:val="EndnoteText"/>
        <w:spacing w:after="120"/>
      </w:pPr>
      <w:r>
        <w:t xml:space="preserve">McCulloch, J., Maher, J., </w:t>
      </w:r>
      <w:proofErr w:type="spellStart"/>
      <w:r>
        <w:t>Walklate</w:t>
      </w:r>
      <w:proofErr w:type="spellEnd"/>
      <w:r>
        <w:t xml:space="preserve">, S., McGowan, J., &amp; Fitz-Gibbon, K. (2020). Justice perspectives of women with disability: An Australian story. </w:t>
      </w:r>
      <w:r>
        <w:rPr>
          <w:i/>
          <w:iCs/>
        </w:rPr>
        <w:t>International Review of Victimology</w:t>
      </w:r>
      <w:r>
        <w:t>, 0269758020906270.</w:t>
      </w:r>
    </w:p>
    <w:p w14:paraId="1E02A6FF" w14:textId="7E0CEFC5" w:rsidR="00D76477" w:rsidRDefault="00D76477" w:rsidP="00BE4A29">
      <w:pPr>
        <w:pStyle w:val="EndnoteText"/>
        <w:spacing w:after="120"/>
      </w:pPr>
      <w:r>
        <w:t xml:space="preserve">O’Shea, A., &amp; Frawley, P. (2020). Gender, </w:t>
      </w:r>
      <w:proofErr w:type="gramStart"/>
      <w:r>
        <w:t>sexuality</w:t>
      </w:r>
      <w:proofErr w:type="gramEnd"/>
      <w:r>
        <w:t xml:space="preserve"> and relationships for young Australian women with intellectual disability. </w:t>
      </w:r>
      <w:r>
        <w:rPr>
          <w:i/>
          <w:iCs/>
        </w:rPr>
        <w:t>Disability &amp; Society</w:t>
      </w:r>
      <w:r>
        <w:t xml:space="preserve">, </w:t>
      </w:r>
      <w:r>
        <w:rPr>
          <w:i/>
          <w:iCs/>
        </w:rPr>
        <w:t>35</w:t>
      </w:r>
      <w:r>
        <w:t>(4), 654-675.</w:t>
      </w:r>
    </w:p>
    <w:p w14:paraId="7E8F952B" w14:textId="77777777" w:rsidR="00D76477" w:rsidRDefault="00D76477" w:rsidP="00BE4A29">
      <w:pPr>
        <w:pStyle w:val="EndnoteText"/>
        <w:spacing w:after="120"/>
      </w:pPr>
      <w:r>
        <w:t xml:space="preserve">Srinivasan, S., Marino, J., Hegarty, K., &amp; </w:t>
      </w:r>
      <w:proofErr w:type="spellStart"/>
      <w:r>
        <w:t>Tarzia</w:t>
      </w:r>
      <w:proofErr w:type="spellEnd"/>
      <w:r>
        <w:t xml:space="preserve">, L. (2020). Women’s expectations of healthcare providers in the context of reproductive abuse in Australia. </w:t>
      </w:r>
      <w:r>
        <w:rPr>
          <w:i/>
          <w:iCs/>
        </w:rPr>
        <w:t>Culture, Health &amp; Sexuality</w:t>
      </w:r>
      <w:r>
        <w:t xml:space="preserve">, </w:t>
      </w:r>
      <w:r>
        <w:rPr>
          <w:i/>
          <w:iCs/>
        </w:rPr>
        <w:t>22</w:t>
      </w:r>
      <w:r>
        <w:t>(5), 489-503</w:t>
      </w:r>
    </w:p>
    <w:p w14:paraId="448DC6FB" w14:textId="49EC052E" w:rsidR="00D76477" w:rsidRDefault="00D76477" w:rsidP="00BE4A29">
      <w:pPr>
        <w:pStyle w:val="EndnoteText"/>
        <w:spacing w:after="120"/>
      </w:pPr>
      <w:proofErr w:type="spellStart"/>
      <w:r>
        <w:t>Tarzia</w:t>
      </w:r>
      <w:proofErr w:type="spellEnd"/>
      <w:r>
        <w:t>, L., Srinivasan, S., Marino, J., &amp; Hegarty, K. (2020). Exploring the grey areas between “</w:t>
      </w:r>
      <w:proofErr w:type="spellStart"/>
      <w:r>
        <w:t>stealthing</w:t>
      </w:r>
      <w:proofErr w:type="spellEnd"/>
      <w:r>
        <w:t xml:space="preserve">” and reproductive coercion and abuse. </w:t>
      </w:r>
      <w:r>
        <w:rPr>
          <w:i/>
          <w:iCs/>
        </w:rPr>
        <w:t>Women &amp; health</w:t>
      </w:r>
      <w:r>
        <w:t xml:space="preserve">, </w:t>
      </w:r>
      <w:r>
        <w:rPr>
          <w:i/>
          <w:iCs/>
        </w:rPr>
        <w:t>60</w:t>
      </w:r>
      <w:r>
        <w:t>(10), 1174-1184.</w:t>
      </w:r>
    </w:p>
    <w:p w14:paraId="3BBB80CD" w14:textId="43C33D3B" w:rsidR="00D76477" w:rsidRDefault="00D76477" w:rsidP="00BE4A29">
      <w:pPr>
        <w:pStyle w:val="EndnoteText"/>
        <w:spacing w:after="120"/>
      </w:pPr>
      <w:proofErr w:type="spellStart"/>
      <w:r>
        <w:t>Tarzia</w:t>
      </w:r>
      <w:proofErr w:type="spellEnd"/>
      <w:r>
        <w:t xml:space="preserve">, L., Wellington, M., Marino, J., &amp; Hegarty, K. (2019). “A Huge, Hidden Problem”: Australian Health Practitioners’ Views and Understandings of Reproductive Coercion. </w:t>
      </w:r>
      <w:r>
        <w:rPr>
          <w:i/>
          <w:iCs/>
        </w:rPr>
        <w:t>Qualitative health research</w:t>
      </w:r>
      <w:r>
        <w:t xml:space="preserve">, </w:t>
      </w:r>
      <w:r>
        <w:rPr>
          <w:i/>
          <w:iCs/>
        </w:rPr>
        <w:t>29</w:t>
      </w:r>
      <w:r>
        <w:t>(10), 1395-1407.</w:t>
      </w:r>
    </w:p>
    <w:p w14:paraId="6C2D0BD8" w14:textId="51BCCF5B" w:rsidR="00D76477" w:rsidRPr="00E85659" w:rsidRDefault="00D76477" w:rsidP="00BE4A29">
      <w:pPr>
        <w:pStyle w:val="EndnoteText"/>
        <w:spacing w:after="120"/>
      </w:pPr>
      <w:r>
        <w:t xml:space="preserve">Acknowledgment to Women </w:t>
      </w:r>
      <w:proofErr w:type="gramStart"/>
      <w:r>
        <w:t>With</w:t>
      </w:r>
      <w:proofErr w:type="gramEnd"/>
      <w:r>
        <w:t xml:space="preserve"> Disabilities Australia (WWDA) and other women with disability advocacy organisations. They continue to platform the voices of women with disabilities who have experienced forced contraception, forced sterilisation and broader forms of reproductive coercion</w:t>
      </w:r>
    </w:p>
  </w:endnote>
  <w:endnote w:id="208">
    <w:p w14:paraId="797584E3"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Miller E, McCauley HL, </w:t>
      </w:r>
      <w:proofErr w:type="spellStart"/>
      <w:r w:rsidRPr="008337A7">
        <w:rPr>
          <w:rFonts w:cs="Arial"/>
        </w:rPr>
        <w:t>Tancredi</w:t>
      </w:r>
      <w:proofErr w:type="spellEnd"/>
      <w:r w:rsidRPr="008337A7">
        <w:rPr>
          <w:rFonts w:cs="Arial"/>
        </w:rPr>
        <w:t xml:space="preserve"> DJ, Decker MR, Anderson H, Silverman JG. Recent reproductive coercion and unintended pregnancy among female family planning clients. Contraception. </w:t>
      </w:r>
      <w:proofErr w:type="gramStart"/>
      <w:r w:rsidRPr="008337A7">
        <w:rPr>
          <w:rFonts w:cs="Arial"/>
        </w:rPr>
        <w:t>2014;89:122</w:t>
      </w:r>
      <w:proofErr w:type="gramEnd"/>
      <w:r w:rsidRPr="008337A7">
        <w:rPr>
          <w:rFonts w:cs="Arial"/>
        </w:rPr>
        <w:t xml:space="preserve">–8. </w:t>
      </w:r>
    </w:p>
  </w:endnote>
  <w:endnote w:id="209">
    <w:p w14:paraId="2C77F82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Australian Institute of Health and Welfare. Use of routinely collected national data sets for reporting on induced abortion in Australia. 2005.</w:t>
      </w:r>
    </w:p>
  </w:endnote>
  <w:endnote w:id="210">
    <w:p w14:paraId="7F28AFE7" w14:textId="7346E29D" w:rsidR="00D76477" w:rsidRPr="00BE4A29" w:rsidRDefault="00D76477">
      <w:pPr>
        <w:pStyle w:val="EndnoteText"/>
        <w:rPr>
          <w:lang w:val="en-US"/>
        </w:rPr>
      </w:pPr>
      <w:r>
        <w:rPr>
          <w:rStyle w:val="EndnoteReference"/>
        </w:rPr>
        <w:endnoteRef/>
      </w:r>
      <w:r>
        <w:t xml:space="preserve"> </w:t>
      </w:r>
      <w:r>
        <w:rPr>
          <w:lang w:val="en-US"/>
        </w:rPr>
        <w:t>Our Watch. Tracking Progress in Prevention; p178 &amp; 246.</w:t>
      </w:r>
      <w:r w:rsidRPr="009E0867">
        <w:t xml:space="preserve"> </w:t>
      </w:r>
      <w:r w:rsidRPr="009E0867">
        <w:rPr>
          <w:lang w:val="en-US"/>
        </w:rPr>
        <w:t>https://www.ourwatch.org.au/resource/tracking-progress-in-prevention-full-report/</w:t>
      </w:r>
      <w:r>
        <w:rPr>
          <w:lang w:val="en-US"/>
        </w:rPr>
        <w:t xml:space="preserve">. Accessed 12 November 2020. </w:t>
      </w:r>
    </w:p>
  </w:endnote>
  <w:endnote w:id="211">
    <w:p w14:paraId="5F17150C" w14:textId="2E5BF939" w:rsidR="00D76477" w:rsidRPr="008D17C2" w:rsidRDefault="00D76477" w:rsidP="00D971E6">
      <w:pPr>
        <w:pStyle w:val="EndnoteText"/>
        <w:rPr>
          <w:lang w:val="en-US"/>
        </w:rPr>
      </w:pPr>
      <w:r>
        <w:rPr>
          <w:rStyle w:val="EndnoteReference"/>
        </w:rPr>
        <w:endnoteRef/>
      </w:r>
      <w:r>
        <w:t xml:space="preserve"> </w:t>
      </w:r>
      <w:r>
        <w:rPr>
          <w:lang w:val="en-US"/>
        </w:rPr>
        <w:t>The Australian Government Department of Health. National Women’s Health Strategy 2020-2030. 2019; 43.</w:t>
      </w:r>
    </w:p>
  </w:endnote>
  <w:endnote w:id="212">
    <w:p w14:paraId="11776AB4" w14:textId="0C14EFE2" w:rsidR="00D76477" w:rsidRPr="00B56730"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Queensland Death Review indicates that the presence of coercive controlling behaviour was an early symptom of many of the fatal DV instances considered in the review. As such it is worth exploring if and what behaviours associated with reproductive coercion </w:t>
      </w:r>
      <w:r w:rsidRPr="00B56730">
        <w:rPr>
          <w:rFonts w:cs="Arial"/>
        </w:rPr>
        <w:t xml:space="preserve">can be used as an early indicator of escalating violence. </w:t>
      </w:r>
    </w:p>
  </w:endnote>
  <w:endnote w:id="213">
    <w:p w14:paraId="7863DD39" w14:textId="5DA03F6B" w:rsidR="00D76477" w:rsidRPr="00BE4A29" w:rsidRDefault="00D76477" w:rsidP="00DB225F">
      <w:pPr>
        <w:pStyle w:val="EndnoteText"/>
        <w:spacing w:after="120"/>
        <w:rPr>
          <w:sz w:val="22"/>
          <w:szCs w:val="22"/>
          <w:lang w:val="en-US"/>
        </w:rPr>
      </w:pPr>
      <w:r w:rsidRPr="00BA2B2B">
        <w:rPr>
          <w:rStyle w:val="EndnoteReference"/>
          <w:szCs w:val="22"/>
        </w:rPr>
        <w:endnoteRef/>
      </w:r>
      <w:r w:rsidRPr="00BA2B2B">
        <w:rPr>
          <w:szCs w:val="22"/>
        </w:rPr>
        <w:t xml:space="preserve"> Douglas, H., Sheeran, N., &amp; </w:t>
      </w:r>
      <w:proofErr w:type="spellStart"/>
      <w:r w:rsidRPr="00BA2B2B">
        <w:rPr>
          <w:szCs w:val="22"/>
        </w:rPr>
        <w:t>Tarzia</w:t>
      </w:r>
      <w:proofErr w:type="spellEnd"/>
      <w:r w:rsidRPr="00BA2B2B">
        <w:rPr>
          <w:szCs w:val="22"/>
        </w:rPr>
        <w:t xml:space="preserve">, L. (2020). Reproductive Coercion and Legal Recognition: Views of Domestic Violence Support Workers and Lawyers. </w:t>
      </w:r>
      <w:r w:rsidRPr="00FB7CF5">
        <w:rPr>
          <w:i/>
          <w:iCs/>
          <w:szCs w:val="22"/>
        </w:rPr>
        <w:t>International Journal for Crime, Justice and Social Democracy</w:t>
      </w:r>
      <w:r w:rsidRPr="00FB7CF5">
        <w:rPr>
          <w:szCs w:val="22"/>
        </w:rPr>
        <w:t xml:space="preserve">, </w:t>
      </w:r>
      <w:r w:rsidRPr="00FB7CF5">
        <w:rPr>
          <w:i/>
          <w:iCs/>
          <w:szCs w:val="22"/>
        </w:rPr>
        <w:t>9</w:t>
      </w:r>
      <w:r w:rsidRPr="00FB7CF5">
        <w:rPr>
          <w:szCs w:val="22"/>
        </w:rPr>
        <w:t>(3).</w:t>
      </w:r>
    </w:p>
  </w:endnote>
  <w:endnote w:id="214">
    <w:p w14:paraId="2D4524E7" w14:textId="1A4373A4" w:rsidR="00D76477" w:rsidRPr="00B56730"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National Women’s Heath Strategy 2020-2030 is currently in draft form for stakeholder consultation. The draft plan includes a section on Sexual and Reproductive Health and a section related to IPV. Reproductive coercion </w:t>
      </w:r>
      <w:r w:rsidRPr="00B56730">
        <w:rPr>
          <w:rFonts w:cs="Arial"/>
        </w:rPr>
        <w:t xml:space="preserve">should be considered within these two sections of the plan. </w:t>
      </w:r>
    </w:p>
  </w:endnote>
  <w:endnote w:id="215">
    <w:p w14:paraId="0B28E2FD" w14:textId="77777777" w:rsidR="00D76477" w:rsidRPr="008D17C2" w:rsidRDefault="00D76477" w:rsidP="00DB225F">
      <w:pPr>
        <w:pStyle w:val="EndnoteText"/>
        <w:spacing w:after="120"/>
        <w:rPr>
          <w:lang w:val="en-US"/>
        </w:rPr>
      </w:pPr>
      <w:r>
        <w:rPr>
          <w:rStyle w:val="EndnoteReference"/>
        </w:rPr>
        <w:endnoteRef/>
      </w:r>
      <w:r>
        <w:t xml:space="preserve"> </w:t>
      </w:r>
      <w:r>
        <w:rPr>
          <w:lang w:val="en-US"/>
        </w:rPr>
        <w:t>The Australian Government Department of Health. National Women’s Health Strategy. 2019; 43.</w:t>
      </w:r>
    </w:p>
  </w:endnote>
  <w:endnote w:id="216">
    <w:p w14:paraId="50A57D85" w14:textId="77777777"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Lancet Guttmacher Commission report, Accelerating progress – sexual and reproductive health and rights for all, highlights the importance of national sexual and reproductive health plans in order to address sexual and reproductive health, gender equality, women’s health and wellbeing, maternal, newborn, child and adolescent health as well as to promote overall health and wellbeing. </w:t>
      </w:r>
    </w:p>
  </w:endnote>
  <w:endnote w:id="217">
    <w:p w14:paraId="06B07A29" w14:textId="77777777" w:rsidR="005B2EE0" w:rsidRPr="00BE4A29" w:rsidRDefault="005B2EE0" w:rsidP="00DB225F">
      <w:pPr>
        <w:pStyle w:val="EndnoteText"/>
        <w:spacing w:after="120"/>
        <w:rPr>
          <w:lang w:val="en-US"/>
        </w:rPr>
      </w:pPr>
      <w:r>
        <w:rPr>
          <w:rStyle w:val="EndnoteReference"/>
        </w:rPr>
        <w:endnoteRef/>
      </w:r>
      <w:r>
        <w:t xml:space="preserve"> </w:t>
      </w:r>
      <w:r>
        <w:rPr>
          <w:lang w:val="en-US"/>
        </w:rPr>
        <w:t xml:space="preserve">Marie Stopes Australia. Situational Report on Sexual and Reproductive Health Rights. </w:t>
      </w:r>
      <w:hyperlink r:id="rId11" w:history="1">
        <w:r w:rsidRPr="00726C85">
          <w:rPr>
            <w:rStyle w:val="Hyperlink"/>
            <w:lang w:val="en-US"/>
          </w:rPr>
          <w:t>https://resources.mariestopes.org.au/SRHRinAustralia.pdf</w:t>
        </w:r>
      </w:hyperlink>
      <w:r>
        <w:rPr>
          <w:lang w:val="en-US"/>
        </w:rPr>
        <w:t>. Accessed 12 November 2020.</w:t>
      </w:r>
    </w:p>
  </w:endnote>
  <w:endnote w:id="218">
    <w:p w14:paraId="77CD3BB8" w14:textId="48A92A4E" w:rsidR="00D76477" w:rsidRPr="008337A7" w:rsidRDefault="00D76477" w:rsidP="00BE4A29">
      <w:pPr>
        <w:pStyle w:val="EndnoteText"/>
        <w:spacing w:after="120"/>
        <w:rPr>
          <w:rFonts w:cs="Arial"/>
        </w:rPr>
      </w:pPr>
      <w:r w:rsidRPr="008337A7">
        <w:rPr>
          <w:rStyle w:val="EndnoteReference"/>
          <w:rFonts w:cs="Arial"/>
        </w:rPr>
        <w:endnoteRef/>
      </w:r>
      <w:r w:rsidRPr="008337A7">
        <w:rPr>
          <w:rFonts w:cs="Arial"/>
        </w:rPr>
        <w:t xml:space="preserve"> The Marie Stopes Australia Choice Fund is a philanthropic fund set up by </w:t>
      </w:r>
      <w:r>
        <w:rPr>
          <w:rFonts w:cs="Arial"/>
        </w:rPr>
        <w:t>Marie Stopes Australia</w:t>
      </w:r>
      <w:r w:rsidRPr="008337A7">
        <w:rPr>
          <w:rFonts w:cs="Arial"/>
        </w:rPr>
        <w:t xml:space="preserve"> in October 2017 to support women accessing abortion and contraception care who are experiencing severe financial and other hardship</w:t>
      </w:r>
      <w:r>
        <w:rPr>
          <w:rFonts w:cs="Arial"/>
        </w:rPr>
        <w:t xml:space="preserve">: </w:t>
      </w:r>
      <w:hyperlink r:id="rId12" w:history="1">
        <w:r w:rsidRPr="00A46358">
          <w:rPr>
            <w:rStyle w:val="Hyperlink"/>
            <w:rFonts w:cs="Arial"/>
          </w:rPr>
          <w:t>https://www.mariestopes.org.au/donate/</w:t>
        </w:r>
      </w:hyperlink>
      <w:r>
        <w:rPr>
          <w:rFonts w:cs="Arial"/>
        </w:rPr>
        <w:t xml:space="preserve">. For further information on the Choice Fund, read the Marie Stopes Australia Impact Reports: </w:t>
      </w:r>
      <w:r w:rsidRPr="00970C10">
        <w:rPr>
          <w:rFonts w:cs="Arial"/>
        </w:rPr>
        <w:t>https://www.mariestopes.org.au/about-us/our-impact/</w:t>
      </w:r>
    </w:p>
  </w:endnote>
  <w:endnote w:id="219">
    <w:p w14:paraId="1778EAF9" w14:textId="53B4129B" w:rsidR="00D76477" w:rsidRDefault="00D76477" w:rsidP="00FA2140">
      <w:pPr>
        <w:spacing w:line="240" w:lineRule="auto"/>
        <w:rPr>
          <w:rFonts w:cs="Arial"/>
          <w:sz w:val="20"/>
          <w:szCs w:val="20"/>
        </w:rPr>
      </w:pPr>
      <w:r w:rsidRPr="008337A7">
        <w:rPr>
          <w:rStyle w:val="EndnoteReference"/>
          <w:rFonts w:cs="Arial"/>
          <w:sz w:val="20"/>
          <w:szCs w:val="20"/>
        </w:rPr>
        <w:endnoteRef/>
      </w:r>
      <w:r w:rsidRPr="008337A7">
        <w:rPr>
          <w:rFonts w:cs="Arial"/>
          <w:sz w:val="20"/>
          <w:szCs w:val="20"/>
        </w:rPr>
        <w:t xml:space="preserve"> This research collaboration aims to amplify the voice of the </w:t>
      </w:r>
      <w:r>
        <w:rPr>
          <w:rFonts w:cs="Arial"/>
          <w:sz w:val="20"/>
          <w:szCs w:val="20"/>
        </w:rPr>
        <w:t>client</w:t>
      </w:r>
      <w:r w:rsidRPr="008337A7">
        <w:rPr>
          <w:rFonts w:cs="Arial"/>
          <w:sz w:val="20"/>
          <w:szCs w:val="20"/>
        </w:rPr>
        <w:t xml:space="preserve">, with the objective of building strong-evidence based improvements for </w:t>
      </w:r>
      <w:r>
        <w:rPr>
          <w:rFonts w:cs="Arial"/>
          <w:sz w:val="20"/>
          <w:szCs w:val="20"/>
        </w:rPr>
        <w:t>their</w:t>
      </w:r>
      <w:r w:rsidRPr="008337A7">
        <w:rPr>
          <w:rFonts w:cs="Arial"/>
          <w:sz w:val="20"/>
          <w:szCs w:val="20"/>
        </w:rPr>
        <w:t xml:space="preserve"> abortion care experience and outcomes. This research program has three stages: qualitative investigation of women</w:t>
      </w:r>
      <w:r>
        <w:rPr>
          <w:rFonts w:cs="Arial"/>
          <w:sz w:val="20"/>
          <w:szCs w:val="20"/>
        </w:rPr>
        <w:t xml:space="preserve"> and pregnant people</w:t>
      </w:r>
      <w:r w:rsidRPr="008337A7">
        <w:rPr>
          <w:rFonts w:cs="Arial"/>
          <w:sz w:val="20"/>
          <w:szCs w:val="20"/>
        </w:rPr>
        <w:t>’s expectations and experiences of abortion care; development of predictive pathways that personalises abortion care to</w:t>
      </w:r>
      <w:r>
        <w:rPr>
          <w:rFonts w:cs="Arial"/>
          <w:sz w:val="20"/>
          <w:szCs w:val="20"/>
        </w:rPr>
        <w:t xml:space="preserve"> client</w:t>
      </w:r>
      <w:r w:rsidRPr="008337A7">
        <w:rPr>
          <w:rFonts w:cs="Arial"/>
          <w:sz w:val="20"/>
          <w:szCs w:val="20"/>
        </w:rPr>
        <w:t xml:space="preserve"> needs; and translation of this research into practice within an Implementation Science Framework. </w:t>
      </w:r>
    </w:p>
    <w:p w14:paraId="7C725661" w14:textId="4968B143" w:rsidR="00D76477" w:rsidRDefault="00D76477" w:rsidP="00FA2140">
      <w:pPr>
        <w:spacing w:line="240" w:lineRule="auto"/>
        <w:rPr>
          <w:rFonts w:cs="Arial"/>
          <w:sz w:val="20"/>
          <w:szCs w:val="20"/>
        </w:rPr>
      </w:pPr>
    </w:p>
    <w:p w14:paraId="50653214" w14:textId="553F01D4" w:rsidR="00D76477" w:rsidRDefault="00D76477" w:rsidP="00FA2140">
      <w:pPr>
        <w:spacing w:line="240" w:lineRule="auto"/>
        <w:rPr>
          <w:rFonts w:cs="Arial"/>
          <w:sz w:val="20"/>
          <w:szCs w:val="20"/>
        </w:rPr>
      </w:pPr>
    </w:p>
    <w:p w14:paraId="6D3616AD" w14:textId="4F10E3EE" w:rsidR="00D76477" w:rsidRDefault="00D76477" w:rsidP="00FA2140">
      <w:pPr>
        <w:spacing w:line="240" w:lineRule="auto"/>
        <w:rPr>
          <w:rFonts w:cs="Arial"/>
          <w:sz w:val="20"/>
          <w:szCs w:val="20"/>
        </w:rPr>
      </w:pPr>
    </w:p>
    <w:p w14:paraId="56050FAE" w14:textId="1B376778" w:rsidR="00D76477" w:rsidRDefault="00D76477" w:rsidP="00FA2140">
      <w:pPr>
        <w:spacing w:line="240" w:lineRule="auto"/>
        <w:rPr>
          <w:rFonts w:cs="Arial"/>
          <w:sz w:val="20"/>
          <w:szCs w:val="20"/>
        </w:rPr>
      </w:pPr>
    </w:p>
    <w:p w14:paraId="37893798" w14:textId="26268342" w:rsidR="00D76477" w:rsidRDefault="00D76477" w:rsidP="00FA2140">
      <w:pPr>
        <w:spacing w:line="240" w:lineRule="auto"/>
        <w:rPr>
          <w:rFonts w:cs="Arial"/>
          <w:sz w:val="20"/>
          <w:szCs w:val="20"/>
        </w:rPr>
      </w:pPr>
    </w:p>
    <w:p w14:paraId="2E8647EE" w14:textId="70823DD7" w:rsidR="00D76477" w:rsidRDefault="00D76477" w:rsidP="00FA2140">
      <w:pPr>
        <w:spacing w:line="240" w:lineRule="auto"/>
        <w:rPr>
          <w:rFonts w:cs="Arial"/>
          <w:sz w:val="20"/>
          <w:szCs w:val="20"/>
        </w:rPr>
      </w:pPr>
    </w:p>
    <w:p w14:paraId="4F8B4CC7" w14:textId="2E0D48E2" w:rsidR="00D76477" w:rsidRDefault="00D76477" w:rsidP="00FA2140">
      <w:pPr>
        <w:spacing w:line="240" w:lineRule="auto"/>
        <w:rPr>
          <w:rFonts w:cs="Arial"/>
          <w:sz w:val="20"/>
          <w:szCs w:val="20"/>
        </w:rPr>
      </w:pPr>
    </w:p>
    <w:p w14:paraId="4EB1D0BB" w14:textId="16A16C7B" w:rsidR="00D76477" w:rsidRDefault="00D76477" w:rsidP="00FA2140">
      <w:pPr>
        <w:spacing w:line="240" w:lineRule="auto"/>
        <w:rPr>
          <w:rFonts w:cs="Arial"/>
          <w:sz w:val="20"/>
          <w:szCs w:val="20"/>
        </w:rPr>
      </w:pPr>
    </w:p>
    <w:p w14:paraId="49CB564B" w14:textId="18BA4A26" w:rsidR="00D76477" w:rsidRDefault="00D76477" w:rsidP="00FA2140">
      <w:pPr>
        <w:spacing w:line="240" w:lineRule="auto"/>
        <w:rPr>
          <w:rFonts w:cs="Arial"/>
          <w:sz w:val="20"/>
          <w:szCs w:val="20"/>
        </w:rPr>
      </w:pPr>
    </w:p>
    <w:p w14:paraId="2BE6576D" w14:textId="3EB4CBC9" w:rsidR="00D76477" w:rsidRDefault="00D76477" w:rsidP="00FA2140">
      <w:pPr>
        <w:spacing w:line="240" w:lineRule="auto"/>
        <w:rPr>
          <w:rFonts w:cs="Arial"/>
          <w:sz w:val="20"/>
          <w:szCs w:val="20"/>
        </w:rPr>
      </w:pPr>
    </w:p>
    <w:p w14:paraId="38FABA08" w14:textId="05BFA0D9" w:rsidR="00D76477" w:rsidRDefault="00D76477" w:rsidP="00FA2140">
      <w:pPr>
        <w:spacing w:line="240" w:lineRule="auto"/>
        <w:rPr>
          <w:rFonts w:cs="Arial"/>
          <w:sz w:val="20"/>
          <w:szCs w:val="20"/>
        </w:rPr>
      </w:pPr>
    </w:p>
    <w:p w14:paraId="238A5371" w14:textId="0CAFC8C8" w:rsidR="00D76477" w:rsidRDefault="00D76477" w:rsidP="00FA2140">
      <w:pPr>
        <w:spacing w:line="240" w:lineRule="auto"/>
        <w:rPr>
          <w:rFonts w:cs="Arial"/>
          <w:sz w:val="20"/>
          <w:szCs w:val="20"/>
        </w:rPr>
      </w:pPr>
    </w:p>
    <w:p w14:paraId="4EB65302" w14:textId="439B4FF7" w:rsidR="00D76477" w:rsidRDefault="00D76477" w:rsidP="00FA2140">
      <w:pPr>
        <w:spacing w:line="240" w:lineRule="auto"/>
        <w:rPr>
          <w:rFonts w:cs="Arial"/>
          <w:sz w:val="20"/>
          <w:szCs w:val="20"/>
        </w:rPr>
      </w:pPr>
    </w:p>
    <w:p w14:paraId="2689CD06" w14:textId="77777777" w:rsidR="00D76477" w:rsidRPr="008337A7" w:rsidRDefault="00D76477" w:rsidP="00FA2140">
      <w:pPr>
        <w:spacing w:line="240" w:lineRule="auto"/>
        <w:rPr>
          <w:rFonts w:cs="Arial"/>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34D8" w14:textId="5483AA47" w:rsidR="00D76477" w:rsidRPr="00D0581F" w:rsidRDefault="00D76477" w:rsidP="0049511D">
    <w:pPr>
      <w:pStyle w:val="Folios"/>
      <w:rPr>
        <w:color w:val="9BAF91"/>
      </w:rPr>
    </w:pPr>
    <w:r w:rsidRPr="0067583F">
      <w:rPr>
        <w:color w:val="9BAF91"/>
      </w:rPr>
      <w:t>Hidden forces</w:t>
    </w:r>
    <w:r w:rsidRPr="00D0581F">
      <w:rPr>
        <w:color w:val="9BAF91"/>
      </w:rPr>
      <w:t>: reproductive coercion in contexts of family and domestic violence</w:t>
    </w:r>
    <w:r w:rsidRPr="00D0581F">
      <w:rPr>
        <w:color w:val="9BAF91"/>
      </w:rPr>
      <w:tab/>
    </w:r>
    <w:r w:rsidRPr="00D0581F">
      <w:rPr>
        <w:color w:val="9BAF91"/>
      </w:rPr>
      <w:tab/>
      <w:t xml:space="preserve">Page </w:t>
    </w:r>
    <w:r w:rsidRPr="00D0581F">
      <w:rPr>
        <w:color w:val="9BAF91"/>
      </w:rPr>
      <w:fldChar w:fldCharType="begin"/>
    </w:r>
    <w:r w:rsidRPr="00D0581F">
      <w:rPr>
        <w:color w:val="9BAF91"/>
      </w:rPr>
      <w:instrText xml:space="preserve"> PAGE   \* MERGEFORMAT </w:instrText>
    </w:r>
    <w:r w:rsidRPr="00D0581F">
      <w:rPr>
        <w:color w:val="9BAF91"/>
      </w:rPr>
      <w:fldChar w:fldCharType="separate"/>
    </w:r>
    <w:r w:rsidR="00425FCB">
      <w:rPr>
        <w:noProof/>
        <w:color w:val="9BAF91"/>
      </w:rPr>
      <w:t>21</w:t>
    </w:r>
    <w:r w:rsidRPr="00D0581F">
      <w:rPr>
        <w:color w:val="9BAF9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4CDF4" w14:textId="77777777" w:rsidR="00AC7E4D" w:rsidRDefault="00AC7E4D" w:rsidP="00CD4429">
      <w:pPr>
        <w:spacing w:after="0" w:line="240" w:lineRule="auto"/>
      </w:pPr>
      <w:r>
        <w:separator/>
      </w:r>
    </w:p>
  </w:footnote>
  <w:footnote w:type="continuationSeparator" w:id="0">
    <w:p w14:paraId="140FD34B" w14:textId="77777777" w:rsidR="00AC7E4D" w:rsidRDefault="00AC7E4D" w:rsidP="00CD4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E32"/>
    <w:multiLevelType w:val="hybridMultilevel"/>
    <w:tmpl w:val="C114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cs="Times New Roman" w:hint="default"/>
        <w:b/>
        <w:i w:val="0"/>
        <w:caps w:val="0"/>
        <w:strike w:val="0"/>
        <w:dstrike w:val="0"/>
        <w:vanish w:val="0"/>
        <w:webHidden w:val="0"/>
        <w:color w:val="5B9BD5" w:themeColor="accent1"/>
        <w:sz w:val="48"/>
        <w:u w:val="none"/>
        <w:effect w:val="none"/>
        <w:vertAlign w:val="baseline"/>
        <w:specVanish w:val="0"/>
      </w:rPr>
    </w:lvl>
    <w:lvl w:ilvl="1">
      <w:start w:val="1"/>
      <w:numFmt w:val="decimal"/>
      <w:lvlRestart w:val="0"/>
      <w:pStyle w:val="SectionNumberOnly"/>
      <w:suff w:val="nothing"/>
      <w:lvlText w:val="%2"/>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4753264"/>
    <w:multiLevelType w:val="hybridMultilevel"/>
    <w:tmpl w:val="BCE63A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11B83"/>
    <w:multiLevelType w:val="hybridMultilevel"/>
    <w:tmpl w:val="D23E4C26"/>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15:restartNumberingAfterBreak="0">
    <w:nsid w:val="066B7423"/>
    <w:multiLevelType w:val="hybridMultilevel"/>
    <w:tmpl w:val="632CE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E67FF"/>
    <w:multiLevelType w:val="hybridMultilevel"/>
    <w:tmpl w:val="E1DC6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71314F"/>
    <w:multiLevelType w:val="hybridMultilevel"/>
    <w:tmpl w:val="AE04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673AF"/>
    <w:multiLevelType w:val="hybridMultilevel"/>
    <w:tmpl w:val="7D7E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67EC5"/>
    <w:multiLevelType w:val="hybridMultilevel"/>
    <w:tmpl w:val="5D48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1B4DEF"/>
    <w:multiLevelType w:val="hybridMultilevel"/>
    <w:tmpl w:val="F9FE4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C4DED"/>
    <w:multiLevelType w:val="hybridMultilevel"/>
    <w:tmpl w:val="6408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C03B1"/>
    <w:multiLevelType w:val="hybridMultilevel"/>
    <w:tmpl w:val="B0A4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E610B"/>
    <w:multiLevelType w:val="hybridMultilevel"/>
    <w:tmpl w:val="0B76EB08"/>
    <w:styleLink w:val="ListNumber"/>
    <w:lvl w:ilvl="0" w:tplc="CEB6CB00">
      <w:start w:val="1"/>
      <w:numFmt w:val="decimal"/>
      <w:pStyle w:val="ListNumber0"/>
      <w:lvlText w:val="%1."/>
      <w:lvlJc w:val="left"/>
      <w:pPr>
        <w:tabs>
          <w:tab w:val="num" w:pos="0"/>
        </w:tabs>
        <w:ind w:left="425" w:hanging="425"/>
      </w:pPr>
    </w:lvl>
    <w:lvl w:ilvl="1" w:tplc="5F6AD1F8">
      <w:start w:val="1"/>
      <w:numFmt w:val="lowerLetter"/>
      <w:pStyle w:val="ListNumber2"/>
      <w:lvlText w:val="%2."/>
      <w:lvlJc w:val="left"/>
      <w:pPr>
        <w:tabs>
          <w:tab w:val="num" w:pos="850"/>
        </w:tabs>
        <w:ind w:left="850" w:hanging="425"/>
      </w:pPr>
    </w:lvl>
    <w:lvl w:ilvl="2" w:tplc="C3C4E6AA">
      <w:start w:val="1"/>
      <w:numFmt w:val="lowerRoman"/>
      <w:pStyle w:val="ListNumber3"/>
      <w:lvlText w:val="%3."/>
      <w:lvlJc w:val="left"/>
      <w:pPr>
        <w:tabs>
          <w:tab w:val="num" w:pos="1275"/>
        </w:tabs>
        <w:ind w:left="1275" w:hanging="425"/>
      </w:pPr>
    </w:lvl>
    <w:lvl w:ilvl="3" w:tplc="BEB0ECAC">
      <w:start w:val="1"/>
      <w:numFmt w:val="upperLetter"/>
      <w:pStyle w:val="ListNumber4"/>
      <w:lvlText w:val="%4."/>
      <w:lvlJc w:val="left"/>
      <w:pPr>
        <w:tabs>
          <w:tab w:val="num" w:pos="1700"/>
        </w:tabs>
        <w:ind w:left="1700" w:hanging="425"/>
      </w:pPr>
    </w:lvl>
    <w:lvl w:ilvl="4" w:tplc="0FC660D4">
      <w:start w:val="1"/>
      <w:numFmt w:val="upperRoman"/>
      <w:pStyle w:val="ListNumber5"/>
      <w:lvlText w:val="%5."/>
      <w:lvlJc w:val="left"/>
      <w:pPr>
        <w:tabs>
          <w:tab w:val="num" w:pos="2125"/>
        </w:tabs>
        <w:ind w:left="2125" w:hanging="425"/>
      </w:pPr>
    </w:lvl>
    <w:lvl w:ilvl="5" w:tplc="43DA854E">
      <w:start w:val="1"/>
      <w:numFmt w:val="decimal"/>
      <w:pStyle w:val="ListNumber6"/>
      <w:lvlText w:val="%6."/>
      <w:lvlJc w:val="left"/>
      <w:pPr>
        <w:tabs>
          <w:tab w:val="num" w:pos="2550"/>
        </w:tabs>
        <w:ind w:left="2550" w:hanging="425"/>
      </w:pPr>
    </w:lvl>
    <w:lvl w:ilvl="6" w:tplc="75C0BC28">
      <w:start w:val="1"/>
      <w:numFmt w:val="none"/>
      <w:lvlText w:val=""/>
      <w:lvlJc w:val="left"/>
      <w:pPr>
        <w:ind w:left="-32767" w:firstLine="0"/>
      </w:pPr>
    </w:lvl>
    <w:lvl w:ilvl="7" w:tplc="CF4414D8">
      <w:start w:val="1"/>
      <w:numFmt w:val="none"/>
      <w:lvlText w:val=""/>
      <w:lvlJc w:val="left"/>
      <w:pPr>
        <w:ind w:left="-32767" w:firstLine="0"/>
      </w:pPr>
    </w:lvl>
    <w:lvl w:ilvl="8" w:tplc="18060CAE">
      <w:start w:val="1"/>
      <w:numFmt w:val="none"/>
      <w:lvlText w:val=""/>
      <w:lvlJc w:val="left"/>
      <w:pPr>
        <w:ind w:left="-32767" w:firstLine="0"/>
      </w:pPr>
    </w:lvl>
  </w:abstractNum>
  <w:abstractNum w:abstractNumId="13" w15:restartNumberingAfterBreak="0">
    <w:nsid w:val="1BB8277D"/>
    <w:multiLevelType w:val="hybridMultilevel"/>
    <w:tmpl w:val="3ED84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9C4FA8"/>
    <w:multiLevelType w:val="hybridMultilevel"/>
    <w:tmpl w:val="2F02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37170"/>
    <w:multiLevelType w:val="multilevel"/>
    <w:tmpl w:val="B2944EBE"/>
    <w:styleLink w:val="ListNbrHeading"/>
    <w:lvl w:ilvl="0">
      <w:start w:val="1"/>
      <w:numFmt w:val="decimal"/>
      <w:pStyle w:val="NbrHeading1"/>
      <w:lvlText w:val="%1."/>
      <w:lvlJc w:val="left"/>
      <w:pPr>
        <w:tabs>
          <w:tab w:val="num" w:pos="1134"/>
        </w:tabs>
        <w:ind w:left="1134" w:hanging="1134"/>
      </w:pPr>
    </w:lvl>
    <w:lvl w:ilvl="1">
      <w:start w:val="1"/>
      <w:numFmt w:val="decimal"/>
      <w:pStyle w:val="NbrHeading2"/>
      <w:lvlText w:val="%1.%2"/>
      <w:lvlJc w:val="left"/>
      <w:pPr>
        <w:tabs>
          <w:tab w:val="num" w:pos="1134"/>
        </w:tabs>
        <w:ind w:left="1134" w:hanging="1134"/>
      </w:pPr>
    </w:lvl>
    <w:lvl w:ilvl="2">
      <w:start w:val="1"/>
      <w:numFmt w:val="decimal"/>
      <w:pStyle w:val="NbrHeading3"/>
      <w:lvlText w:val="%1.%2.%3"/>
      <w:lvlJc w:val="left"/>
      <w:pPr>
        <w:tabs>
          <w:tab w:val="num" w:pos="1134"/>
        </w:tabs>
        <w:ind w:left="1134" w:hanging="1134"/>
      </w:pPr>
    </w:lvl>
    <w:lvl w:ilvl="3">
      <w:start w:val="1"/>
      <w:numFmt w:val="decimal"/>
      <w:pStyle w:val="NbrHeading4"/>
      <w:lvlText w:val="%1.%2.%3.%4"/>
      <w:lvlJc w:val="left"/>
      <w:pPr>
        <w:tabs>
          <w:tab w:val="num" w:pos="1134"/>
        </w:tabs>
        <w:ind w:left="1134" w:hanging="1134"/>
      </w:pPr>
    </w:lvl>
    <w:lvl w:ilvl="4">
      <w:start w:val="1"/>
      <w:numFmt w:val="decimal"/>
      <w:pStyle w:val="NbrHeading5"/>
      <w:lvlText w:val="%1.%2.%3.%4.%5"/>
      <w:lvlJc w:val="left"/>
      <w:pPr>
        <w:tabs>
          <w:tab w:val="num" w:pos="1134"/>
        </w:tabs>
        <w:ind w:left="1134" w:hanging="1134"/>
      </w:pPr>
    </w:lvl>
    <w:lvl w:ilvl="5">
      <w:start w:val="1"/>
      <w:numFmt w:val="none"/>
      <w:lvlText w:val=""/>
      <w:lvlJc w:val="left"/>
      <w:pPr>
        <w:tabs>
          <w:tab w:val="num" w:pos="0"/>
        </w:tabs>
        <w:ind w:left="0" w:firstLine="0"/>
      </w:pPr>
    </w:lvl>
    <w:lvl w:ilvl="6">
      <w:start w:val="1"/>
      <w:numFmt w:val="none"/>
      <w:lvlText w:val=""/>
      <w:lvlJc w:val="left"/>
      <w:pPr>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1F7B6602"/>
    <w:multiLevelType w:val="hybridMultilevel"/>
    <w:tmpl w:val="FFFFFFFF"/>
    <w:lvl w:ilvl="0" w:tplc="009CA090">
      <w:start w:val="1"/>
      <w:numFmt w:val="decimal"/>
      <w:lvlText w:val="%1."/>
      <w:lvlJc w:val="left"/>
      <w:pPr>
        <w:ind w:left="360" w:hanging="360"/>
      </w:pPr>
    </w:lvl>
    <w:lvl w:ilvl="1" w:tplc="203AAC00">
      <w:start w:val="1"/>
      <w:numFmt w:val="lowerLetter"/>
      <w:lvlText w:val="%2."/>
      <w:lvlJc w:val="left"/>
      <w:pPr>
        <w:ind w:left="1080" w:hanging="360"/>
      </w:pPr>
    </w:lvl>
    <w:lvl w:ilvl="2" w:tplc="29C2805E">
      <w:start w:val="1"/>
      <w:numFmt w:val="lowerRoman"/>
      <w:lvlText w:val="%3."/>
      <w:lvlJc w:val="right"/>
      <w:pPr>
        <w:ind w:left="1800" w:hanging="180"/>
      </w:pPr>
    </w:lvl>
    <w:lvl w:ilvl="3" w:tplc="F4FE631E">
      <w:start w:val="1"/>
      <w:numFmt w:val="decimal"/>
      <w:lvlText w:val="%4."/>
      <w:lvlJc w:val="left"/>
      <w:pPr>
        <w:ind w:left="2520" w:hanging="360"/>
      </w:pPr>
    </w:lvl>
    <w:lvl w:ilvl="4" w:tplc="E22AF294">
      <w:start w:val="1"/>
      <w:numFmt w:val="lowerLetter"/>
      <w:lvlText w:val="%5."/>
      <w:lvlJc w:val="left"/>
      <w:pPr>
        <w:ind w:left="3240" w:hanging="360"/>
      </w:pPr>
    </w:lvl>
    <w:lvl w:ilvl="5" w:tplc="D9E2622E">
      <w:start w:val="1"/>
      <w:numFmt w:val="lowerRoman"/>
      <w:lvlText w:val="%6."/>
      <w:lvlJc w:val="right"/>
      <w:pPr>
        <w:ind w:left="3960" w:hanging="180"/>
      </w:pPr>
    </w:lvl>
    <w:lvl w:ilvl="6" w:tplc="E31E7B52">
      <w:start w:val="1"/>
      <w:numFmt w:val="decimal"/>
      <w:lvlText w:val="%7."/>
      <w:lvlJc w:val="left"/>
      <w:pPr>
        <w:ind w:left="4680" w:hanging="360"/>
      </w:pPr>
    </w:lvl>
    <w:lvl w:ilvl="7" w:tplc="706C4DA0">
      <w:start w:val="1"/>
      <w:numFmt w:val="lowerLetter"/>
      <w:lvlText w:val="%8."/>
      <w:lvlJc w:val="left"/>
      <w:pPr>
        <w:ind w:left="5400" w:hanging="360"/>
      </w:pPr>
    </w:lvl>
    <w:lvl w:ilvl="8" w:tplc="851E4914">
      <w:start w:val="1"/>
      <w:numFmt w:val="lowerRoman"/>
      <w:lvlText w:val="%9."/>
      <w:lvlJc w:val="right"/>
      <w:pPr>
        <w:ind w:left="6120" w:hanging="180"/>
      </w:pPr>
    </w:lvl>
  </w:abstractNum>
  <w:abstractNum w:abstractNumId="17" w15:restartNumberingAfterBreak="0">
    <w:nsid w:val="26542EF3"/>
    <w:multiLevelType w:val="hybridMultilevel"/>
    <w:tmpl w:val="B1906A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EA6CF0"/>
    <w:multiLevelType w:val="hybridMultilevel"/>
    <w:tmpl w:val="9EF83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04461D"/>
    <w:multiLevelType w:val="hybridMultilevel"/>
    <w:tmpl w:val="2D684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973E80"/>
    <w:multiLevelType w:val="hybridMultilevel"/>
    <w:tmpl w:val="D442603C"/>
    <w:styleLink w:val="ListTableNumber"/>
    <w:lvl w:ilvl="0" w:tplc="E752CBF8">
      <w:start w:val="1"/>
      <w:numFmt w:val="decimal"/>
      <w:pStyle w:val="TableNumber"/>
      <w:lvlText w:val="%1."/>
      <w:lvlJc w:val="left"/>
      <w:pPr>
        <w:tabs>
          <w:tab w:val="num" w:pos="397"/>
        </w:tabs>
        <w:ind w:left="397" w:hanging="284"/>
      </w:pPr>
    </w:lvl>
    <w:lvl w:ilvl="1" w:tplc="81C4D646">
      <w:start w:val="1"/>
      <w:numFmt w:val="lowerLetter"/>
      <w:pStyle w:val="TableNumber2"/>
      <w:lvlText w:val="%2."/>
      <w:lvlJc w:val="left"/>
      <w:pPr>
        <w:tabs>
          <w:tab w:val="num" w:pos="680"/>
        </w:tabs>
        <w:ind w:left="680" w:hanging="283"/>
      </w:pPr>
    </w:lvl>
    <w:lvl w:ilvl="2" w:tplc="E3249FCC">
      <w:start w:val="1"/>
      <w:numFmt w:val="none"/>
      <w:lvlText w:val=""/>
      <w:lvlJc w:val="left"/>
      <w:pPr>
        <w:tabs>
          <w:tab w:val="num" w:pos="0"/>
        </w:tabs>
        <w:ind w:left="0" w:firstLine="0"/>
      </w:pPr>
    </w:lvl>
    <w:lvl w:ilvl="3" w:tplc="C50282BE">
      <w:start w:val="1"/>
      <w:numFmt w:val="none"/>
      <w:lvlText w:val=""/>
      <w:lvlJc w:val="left"/>
      <w:pPr>
        <w:tabs>
          <w:tab w:val="num" w:pos="0"/>
        </w:tabs>
        <w:ind w:left="0" w:firstLine="0"/>
      </w:pPr>
    </w:lvl>
    <w:lvl w:ilvl="4" w:tplc="3258AD9E">
      <w:start w:val="1"/>
      <w:numFmt w:val="none"/>
      <w:lvlText w:val=""/>
      <w:lvlJc w:val="left"/>
      <w:pPr>
        <w:tabs>
          <w:tab w:val="num" w:pos="0"/>
        </w:tabs>
        <w:ind w:left="0" w:firstLine="0"/>
      </w:pPr>
    </w:lvl>
    <w:lvl w:ilvl="5" w:tplc="29700FBE">
      <w:start w:val="1"/>
      <w:numFmt w:val="none"/>
      <w:lvlText w:val=""/>
      <w:lvlJc w:val="left"/>
      <w:pPr>
        <w:tabs>
          <w:tab w:val="num" w:pos="0"/>
        </w:tabs>
        <w:ind w:left="0" w:firstLine="0"/>
      </w:pPr>
    </w:lvl>
    <w:lvl w:ilvl="6" w:tplc="4FCCC8BE">
      <w:start w:val="1"/>
      <w:numFmt w:val="none"/>
      <w:lvlText w:val=""/>
      <w:lvlJc w:val="left"/>
      <w:pPr>
        <w:tabs>
          <w:tab w:val="num" w:pos="0"/>
        </w:tabs>
        <w:ind w:left="0" w:firstLine="0"/>
      </w:pPr>
    </w:lvl>
    <w:lvl w:ilvl="7" w:tplc="D98A2E58">
      <w:start w:val="1"/>
      <w:numFmt w:val="none"/>
      <w:lvlText w:val=""/>
      <w:lvlJc w:val="left"/>
      <w:pPr>
        <w:tabs>
          <w:tab w:val="num" w:pos="0"/>
        </w:tabs>
        <w:ind w:left="0" w:firstLine="0"/>
      </w:pPr>
    </w:lvl>
    <w:lvl w:ilvl="8" w:tplc="50E4C798">
      <w:start w:val="1"/>
      <w:numFmt w:val="none"/>
      <w:lvlText w:val=""/>
      <w:lvlJc w:val="left"/>
      <w:pPr>
        <w:tabs>
          <w:tab w:val="num" w:pos="0"/>
        </w:tabs>
        <w:ind w:left="0" w:firstLine="0"/>
      </w:pPr>
    </w:lvl>
  </w:abstractNum>
  <w:abstractNum w:abstractNumId="21" w15:restartNumberingAfterBreak="0">
    <w:nsid w:val="29F30966"/>
    <w:multiLevelType w:val="hybridMultilevel"/>
    <w:tmpl w:val="9EF83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BE65CA"/>
    <w:multiLevelType w:val="hybridMultilevel"/>
    <w:tmpl w:val="8672385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 w15:restartNumberingAfterBreak="0">
    <w:nsid w:val="2D5B3287"/>
    <w:multiLevelType w:val="hybridMultilevel"/>
    <w:tmpl w:val="9A84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786F4B"/>
    <w:multiLevelType w:val="hybridMultilevel"/>
    <w:tmpl w:val="A85A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B33558"/>
    <w:multiLevelType w:val="hybridMultilevel"/>
    <w:tmpl w:val="7E6C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4B78B3"/>
    <w:multiLevelType w:val="hybridMultilevel"/>
    <w:tmpl w:val="5D2E0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0A1622"/>
    <w:multiLevelType w:val="hybridMultilevel"/>
    <w:tmpl w:val="A2284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357B15"/>
    <w:multiLevelType w:val="hybridMultilevel"/>
    <w:tmpl w:val="62FCD576"/>
    <w:lvl w:ilvl="0" w:tplc="A036C298">
      <w:start w:val="1"/>
      <w:numFmt w:val="decimal"/>
      <w:lvlText w:val="%1."/>
      <w:lvlJc w:val="left"/>
      <w:pPr>
        <w:tabs>
          <w:tab w:val="num" w:pos="720"/>
        </w:tabs>
        <w:ind w:left="720" w:hanging="720"/>
      </w:pPr>
    </w:lvl>
    <w:lvl w:ilvl="1" w:tplc="BF34E326">
      <w:start w:val="1"/>
      <w:numFmt w:val="decimal"/>
      <w:lvlText w:val="%2."/>
      <w:lvlJc w:val="left"/>
      <w:pPr>
        <w:tabs>
          <w:tab w:val="num" w:pos="1440"/>
        </w:tabs>
        <w:ind w:left="1440" w:hanging="720"/>
      </w:pPr>
    </w:lvl>
    <w:lvl w:ilvl="2" w:tplc="EE502C80">
      <w:start w:val="1"/>
      <w:numFmt w:val="decimal"/>
      <w:lvlText w:val="%3."/>
      <w:lvlJc w:val="left"/>
      <w:pPr>
        <w:tabs>
          <w:tab w:val="num" w:pos="2160"/>
        </w:tabs>
        <w:ind w:left="2160" w:hanging="720"/>
      </w:pPr>
    </w:lvl>
    <w:lvl w:ilvl="3" w:tplc="B0460C24">
      <w:start w:val="1"/>
      <w:numFmt w:val="decimal"/>
      <w:lvlText w:val="%4."/>
      <w:lvlJc w:val="left"/>
      <w:pPr>
        <w:tabs>
          <w:tab w:val="num" w:pos="2880"/>
        </w:tabs>
        <w:ind w:left="2880" w:hanging="720"/>
      </w:pPr>
    </w:lvl>
    <w:lvl w:ilvl="4" w:tplc="0EEA7A00">
      <w:start w:val="1"/>
      <w:numFmt w:val="decimal"/>
      <w:lvlText w:val="%5."/>
      <w:lvlJc w:val="left"/>
      <w:pPr>
        <w:tabs>
          <w:tab w:val="num" w:pos="3600"/>
        </w:tabs>
        <w:ind w:left="3600" w:hanging="720"/>
      </w:pPr>
    </w:lvl>
    <w:lvl w:ilvl="5" w:tplc="CC4E736C">
      <w:start w:val="1"/>
      <w:numFmt w:val="decimal"/>
      <w:lvlText w:val="%6."/>
      <w:lvlJc w:val="left"/>
      <w:pPr>
        <w:tabs>
          <w:tab w:val="num" w:pos="4320"/>
        </w:tabs>
        <w:ind w:left="4320" w:hanging="720"/>
      </w:pPr>
    </w:lvl>
    <w:lvl w:ilvl="6" w:tplc="965CB7B6">
      <w:start w:val="1"/>
      <w:numFmt w:val="decimal"/>
      <w:lvlText w:val="%7."/>
      <w:lvlJc w:val="left"/>
      <w:pPr>
        <w:tabs>
          <w:tab w:val="num" w:pos="5040"/>
        </w:tabs>
        <w:ind w:left="5040" w:hanging="720"/>
      </w:pPr>
    </w:lvl>
    <w:lvl w:ilvl="7" w:tplc="363C007A">
      <w:start w:val="1"/>
      <w:numFmt w:val="decimal"/>
      <w:lvlText w:val="%8."/>
      <w:lvlJc w:val="left"/>
      <w:pPr>
        <w:tabs>
          <w:tab w:val="num" w:pos="5760"/>
        </w:tabs>
        <w:ind w:left="5760" w:hanging="720"/>
      </w:pPr>
    </w:lvl>
    <w:lvl w:ilvl="8" w:tplc="9FEEE4C2">
      <w:start w:val="1"/>
      <w:numFmt w:val="decimal"/>
      <w:lvlText w:val="%9."/>
      <w:lvlJc w:val="left"/>
      <w:pPr>
        <w:tabs>
          <w:tab w:val="num" w:pos="6480"/>
        </w:tabs>
        <w:ind w:left="6480" w:hanging="720"/>
      </w:pPr>
    </w:lvl>
  </w:abstractNum>
  <w:abstractNum w:abstractNumId="29" w15:restartNumberingAfterBreak="0">
    <w:nsid w:val="40483DDC"/>
    <w:multiLevelType w:val="hybridMultilevel"/>
    <w:tmpl w:val="CDCE0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1E16D5"/>
    <w:multiLevelType w:val="hybridMultilevel"/>
    <w:tmpl w:val="955C4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1575B5"/>
    <w:multiLevelType w:val="hybridMultilevel"/>
    <w:tmpl w:val="CD5E16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4E09076A"/>
    <w:multiLevelType w:val="hybridMultilevel"/>
    <w:tmpl w:val="186A1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754838"/>
    <w:multiLevelType w:val="hybridMultilevel"/>
    <w:tmpl w:val="E3F61058"/>
    <w:lvl w:ilvl="0" w:tplc="DC9A7F7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6D6B77"/>
    <w:multiLevelType w:val="hybridMultilevel"/>
    <w:tmpl w:val="E65E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3E7229"/>
    <w:multiLevelType w:val="hybridMultilevel"/>
    <w:tmpl w:val="AB08D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7365D5"/>
    <w:multiLevelType w:val="hybridMultilevel"/>
    <w:tmpl w:val="D616A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BF7F81"/>
    <w:multiLevelType w:val="hybridMultilevel"/>
    <w:tmpl w:val="BD3A0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BD7D6E"/>
    <w:multiLevelType w:val="hybridMultilevel"/>
    <w:tmpl w:val="8A461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773E58"/>
    <w:multiLevelType w:val="hybridMultilevel"/>
    <w:tmpl w:val="8AB85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ED317D9"/>
    <w:multiLevelType w:val="hybridMultilevel"/>
    <w:tmpl w:val="0B5C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853A5F"/>
    <w:multiLevelType w:val="hybridMultilevel"/>
    <w:tmpl w:val="FE42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E66F8F"/>
    <w:multiLevelType w:val="hybridMultilevel"/>
    <w:tmpl w:val="FD82F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7C40E5"/>
    <w:multiLevelType w:val="hybridMultilevel"/>
    <w:tmpl w:val="C1100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CB006E"/>
    <w:multiLevelType w:val="hybridMultilevel"/>
    <w:tmpl w:val="36ACB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702FBF"/>
    <w:multiLevelType w:val="hybridMultilevel"/>
    <w:tmpl w:val="D23E4C26"/>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6" w15:restartNumberingAfterBreak="0">
    <w:nsid w:val="71E07E49"/>
    <w:multiLevelType w:val="hybridMultilevel"/>
    <w:tmpl w:val="389AE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31089D"/>
    <w:multiLevelType w:val="hybridMultilevel"/>
    <w:tmpl w:val="33EE81E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num w:numId="1">
    <w:abstractNumId w:val="12"/>
  </w:num>
  <w:num w:numId="2">
    <w:abstractNumId w:val="15"/>
  </w:num>
  <w:num w:numId="3">
    <w:abstractNumId w:val="20"/>
  </w:num>
  <w:num w:numId="4">
    <w:abstractNumId w:val="1"/>
  </w:num>
  <w:num w:numId="5">
    <w:abstractNumId w:val="6"/>
  </w:num>
  <w:num w:numId="6">
    <w:abstractNumId w:val="16"/>
  </w:num>
  <w:num w:numId="7">
    <w:abstractNumId w:val="27"/>
  </w:num>
  <w:num w:numId="8">
    <w:abstractNumId w:val="21"/>
  </w:num>
  <w:num w:numId="9">
    <w:abstractNumId w:val="45"/>
  </w:num>
  <w:num w:numId="10">
    <w:abstractNumId w:val="31"/>
  </w:num>
  <w:num w:numId="11">
    <w:abstractNumId w:val="22"/>
  </w:num>
  <w:num w:numId="12">
    <w:abstractNumId w:val="46"/>
  </w:num>
  <w:num w:numId="13">
    <w:abstractNumId w:val="11"/>
  </w:num>
  <w:num w:numId="14">
    <w:abstractNumId w:val="32"/>
  </w:num>
  <w:num w:numId="15">
    <w:abstractNumId w:val="0"/>
  </w:num>
  <w:num w:numId="16">
    <w:abstractNumId w:val="40"/>
  </w:num>
  <w:num w:numId="17">
    <w:abstractNumId w:val="17"/>
  </w:num>
  <w:num w:numId="18">
    <w:abstractNumId w:val="35"/>
  </w:num>
  <w:num w:numId="19">
    <w:abstractNumId w:val="29"/>
  </w:num>
  <w:num w:numId="20">
    <w:abstractNumId w:val="9"/>
  </w:num>
  <w:num w:numId="21">
    <w:abstractNumId w:val="7"/>
  </w:num>
  <w:num w:numId="22">
    <w:abstractNumId w:val="37"/>
  </w:num>
  <w:num w:numId="23">
    <w:abstractNumId w:val="4"/>
  </w:num>
  <w:num w:numId="24">
    <w:abstractNumId w:val="30"/>
  </w:num>
  <w:num w:numId="25">
    <w:abstractNumId w:val="44"/>
  </w:num>
  <w:num w:numId="26">
    <w:abstractNumId w:val="41"/>
  </w:num>
  <w:num w:numId="27">
    <w:abstractNumId w:val="43"/>
  </w:num>
  <w:num w:numId="28">
    <w:abstractNumId w:val="47"/>
  </w:num>
  <w:num w:numId="29">
    <w:abstractNumId w:val="13"/>
  </w:num>
  <w:num w:numId="30">
    <w:abstractNumId w:val="14"/>
  </w:num>
  <w:num w:numId="31">
    <w:abstractNumId w:val="10"/>
  </w:num>
  <w:num w:numId="32">
    <w:abstractNumId w:val="34"/>
  </w:num>
  <w:num w:numId="33">
    <w:abstractNumId w:val="24"/>
  </w:num>
  <w:num w:numId="34">
    <w:abstractNumId w:val="38"/>
  </w:num>
  <w:num w:numId="35">
    <w:abstractNumId w:val="23"/>
  </w:num>
  <w:num w:numId="36">
    <w:abstractNumId w:val="42"/>
  </w:num>
  <w:num w:numId="37">
    <w:abstractNumId w:val="26"/>
  </w:num>
  <w:num w:numId="38">
    <w:abstractNumId w:val="8"/>
  </w:num>
  <w:num w:numId="39">
    <w:abstractNumId w:val="19"/>
  </w:num>
  <w:num w:numId="40">
    <w:abstractNumId w:val="5"/>
  </w:num>
  <w:num w:numId="41">
    <w:abstractNumId w:val="25"/>
  </w:num>
  <w:num w:numId="42">
    <w:abstractNumId w:val="2"/>
  </w:num>
  <w:num w:numId="43">
    <w:abstractNumId w:val="3"/>
  </w:num>
  <w:num w:numId="44">
    <w:abstractNumId w:val="36"/>
  </w:num>
  <w:num w:numId="45">
    <w:abstractNumId w:val="18"/>
  </w:num>
  <w:num w:numId="46">
    <w:abstractNumId w:val="28"/>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29"/>
    <w:rsid w:val="00000D1B"/>
    <w:rsid w:val="00000E79"/>
    <w:rsid w:val="00001187"/>
    <w:rsid w:val="000012EA"/>
    <w:rsid w:val="00001BD4"/>
    <w:rsid w:val="0001022D"/>
    <w:rsid w:val="0001321D"/>
    <w:rsid w:val="00014E0C"/>
    <w:rsid w:val="000150E8"/>
    <w:rsid w:val="000158D4"/>
    <w:rsid w:val="00020591"/>
    <w:rsid w:val="000206EC"/>
    <w:rsid w:val="00020D41"/>
    <w:rsid w:val="0002207C"/>
    <w:rsid w:val="0002240E"/>
    <w:rsid w:val="0002490B"/>
    <w:rsid w:val="00025574"/>
    <w:rsid w:val="0002588D"/>
    <w:rsid w:val="00025A17"/>
    <w:rsid w:val="00026A95"/>
    <w:rsid w:val="00027620"/>
    <w:rsid w:val="00030B52"/>
    <w:rsid w:val="00031B2B"/>
    <w:rsid w:val="00031CAA"/>
    <w:rsid w:val="0003202F"/>
    <w:rsid w:val="0003342D"/>
    <w:rsid w:val="000336D3"/>
    <w:rsid w:val="0003383C"/>
    <w:rsid w:val="00037A03"/>
    <w:rsid w:val="00040647"/>
    <w:rsid w:val="00040C95"/>
    <w:rsid w:val="000430EF"/>
    <w:rsid w:val="00045034"/>
    <w:rsid w:val="0005095B"/>
    <w:rsid w:val="00055276"/>
    <w:rsid w:val="00055B21"/>
    <w:rsid w:val="00056C84"/>
    <w:rsid w:val="00056DBE"/>
    <w:rsid w:val="00057577"/>
    <w:rsid w:val="00066B95"/>
    <w:rsid w:val="0007087D"/>
    <w:rsid w:val="000713BF"/>
    <w:rsid w:val="00071E5A"/>
    <w:rsid w:val="000823AF"/>
    <w:rsid w:val="0008279E"/>
    <w:rsid w:val="000862A0"/>
    <w:rsid w:val="00086465"/>
    <w:rsid w:val="00086555"/>
    <w:rsid w:val="00086D74"/>
    <w:rsid w:val="00090DD0"/>
    <w:rsid w:val="00090DEB"/>
    <w:rsid w:val="000915C1"/>
    <w:rsid w:val="000918F5"/>
    <w:rsid w:val="00092932"/>
    <w:rsid w:val="000938A2"/>
    <w:rsid w:val="00094637"/>
    <w:rsid w:val="00096716"/>
    <w:rsid w:val="00097940"/>
    <w:rsid w:val="000A1FC8"/>
    <w:rsid w:val="000A215C"/>
    <w:rsid w:val="000A309A"/>
    <w:rsid w:val="000A30C6"/>
    <w:rsid w:val="000A57DF"/>
    <w:rsid w:val="000A70D1"/>
    <w:rsid w:val="000A7A59"/>
    <w:rsid w:val="000B050F"/>
    <w:rsid w:val="000B2057"/>
    <w:rsid w:val="000B269E"/>
    <w:rsid w:val="000B3C45"/>
    <w:rsid w:val="000B3DCA"/>
    <w:rsid w:val="000B5F1A"/>
    <w:rsid w:val="000B730F"/>
    <w:rsid w:val="000C05E0"/>
    <w:rsid w:val="000C3782"/>
    <w:rsid w:val="000C382E"/>
    <w:rsid w:val="000C3B48"/>
    <w:rsid w:val="000C4368"/>
    <w:rsid w:val="000C44F4"/>
    <w:rsid w:val="000C50FF"/>
    <w:rsid w:val="000C7600"/>
    <w:rsid w:val="000D040F"/>
    <w:rsid w:val="000D091F"/>
    <w:rsid w:val="000D0E6D"/>
    <w:rsid w:val="000D20CB"/>
    <w:rsid w:val="000D51C5"/>
    <w:rsid w:val="000E1027"/>
    <w:rsid w:val="000E2AD0"/>
    <w:rsid w:val="000E2DD1"/>
    <w:rsid w:val="000E5725"/>
    <w:rsid w:val="000E7D87"/>
    <w:rsid w:val="000F038E"/>
    <w:rsid w:val="000F2368"/>
    <w:rsid w:val="000F297B"/>
    <w:rsid w:val="000F2D38"/>
    <w:rsid w:val="000F67B1"/>
    <w:rsid w:val="0010198D"/>
    <w:rsid w:val="00101A14"/>
    <w:rsid w:val="00101E2A"/>
    <w:rsid w:val="00102F16"/>
    <w:rsid w:val="001039F8"/>
    <w:rsid w:val="00103DAD"/>
    <w:rsid w:val="00104C93"/>
    <w:rsid w:val="0010515E"/>
    <w:rsid w:val="00105D6F"/>
    <w:rsid w:val="00107868"/>
    <w:rsid w:val="001115EB"/>
    <w:rsid w:val="00112357"/>
    <w:rsid w:val="0011341E"/>
    <w:rsid w:val="00113879"/>
    <w:rsid w:val="00114315"/>
    <w:rsid w:val="001153A1"/>
    <w:rsid w:val="001159CC"/>
    <w:rsid w:val="00116BA4"/>
    <w:rsid w:val="00116D1C"/>
    <w:rsid w:val="0011752A"/>
    <w:rsid w:val="00121257"/>
    <w:rsid w:val="00121B6F"/>
    <w:rsid w:val="00121EED"/>
    <w:rsid w:val="00123BFB"/>
    <w:rsid w:val="00124288"/>
    <w:rsid w:val="001242BA"/>
    <w:rsid w:val="0012454C"/>
    <w:rsid w:val="00131B29"/>
    <w:rsid w:val="00132C3A"/>
    <w:rsid w:val="00133B87"/>
    <w:rsid w:val="0013523F"/>
    <w:rsid w:val="00136712"/>
    <w:rsid w:val="00141E7F"/>
    <w:rsid w:val="0014579C"/>
    <w:rsid w:val="00146E0D"/>
    <w:rsid w:val="0015613E"/>
    <w:rsid w:val="0015731B"/>
    <w:rsid w:val="00161E1A"/>
    <w:rsid w:val="00164776"/>
    <w:rsid w:val="00166DF0"/>
    <w:rsid w:val="0017048D"/>
    <w:rsid w:val="00170C86"/>
    <w:rsid w:val="00171151"/>
    <w:rsid w:val="00172850"/>
    <w:rsid w:val="00172F3D"/>
    <w:rsid w:val="00173707"/>
    <w:rsid w:val="00174C8B"/>
    <w:rsid w:val="00174D7F"/>
    <w:rsid w:val="00175D9C"/>
    <w:rsid w:val="00181689"/>
    <w:rsid w:val="001818C7"/>
    <w:rsid w:val="00181D7D"/>
    <w:rsid w:val="001830F1"/>
    <w:rsid w:val="00183413"/>
    <w:rsid w:val="00184260"/>
    <w:rsid w:val="00186A4E"/>
    <w:rsid w:val="00190257"/>
    <w:rsid w:val="00194CC8"/>
    <w:rsid w:val="00195AEC"/>
    <w:rsid w:val="001977BA"/>
    <w:rsid w:val="00197FAD"/>
    <w:rsid w:val="001A1DC4"/>
    <w:rsid w:val="001A2E53"/>
    <w:rsid w:val="001B1BA2"/>
    <w:rsid w:val="001B1F5B"/>
    <w:rsid w:val="001B283F"/>
    <w:rsid w:val="001B3978"/>
    <w:rsid w:val="001B4D31"/>
    <w:rsid w:val="001B5223"/>
    <w:rsid w:val="001C1C1F"/>
    <w:rsid w:val="001C1D97"/>
    <w:rsid w:val="001C299D"/>
    <w:rsid w:val="001C3726"/>
    <w:rsid w:val="001C47AC"/>
    <w:rsid w:val="001C56CE"/>
    <w:rsid w:val="001D0050"/>
    <w:rsid w:val="001D09C8"/>
    <w:rsid w:val="001D2819"/>
    <w:rsid w:val="001D2848"/>
    <w:rsid w:val="001D2B7F"/>
    <w:rsid w:val="001D441C"/>
    <w:rsid w:val="001D56C2"/>
    <w:rsid w:val="001D5E36"/>
    <w:rsid w:val="001F3A29"/>
    <w:rsid w:val="001F4211"/>
    <w:rsid w:val="001F434A"/>
    <w:rsid w:val="001F4BA8"/>
    <w:rsid w:val="001F59C6"/>
    <w:rsid w:val="001F69B4"/>
    <w:rsid w:val="002001F8"/>
    <w:rsid w:val="002022B8"/>
    <w:rsid w:val="00202B9A"/>
    <w:rsid w:val="00202FF5"/>
    <w:rsid w:val="00203112"/>
    <w:rsid w:val="002111F9"/>
    <w:rsid w:val="00211B77"/>
    <w:rsid w:val="00212AFB"/>
    <w:rsid w:val="00212D3F"/>
    <w:rsid w:val="00212DE7"/>
    <w:rsid w:val="00214034"/>
    <w:rsid w:val="00215A5D"/>
    <w:rsid w:val="00216195"/>
    <w:rsid w:val="00216EF5"/>
    <w:rsid w:val="0021764F"/>
    <w:rsid w:val="00220849"/>
    <w:rsid w:val="002216DE"/>
    <w:rsid w:val="00222A15"/>
    <w:rsid w:val="00222B77"/>
    <w:rsid w:val="00223888"/>
    <w:rsid w:val="00224B53"/>
    <w:rsid w:val="00226926"/>
    <w:rsid w:val="0023039E"/>
    <w:rsid w:val="00230B44"/>
    <w:rsid w:val="00230B87"/>
    <w:rsid w:val="002324B8"/>
    <w:rsid w:val="002326CC"/>
    <w:rsid w:val="0023546A"/>
    <w:rsid w:val="0024176F"/>
    <w:rsid w:val="002426E4"/>
    <w:rsid w:val="002438D5"/>
    <w:rsid w:val="00245323"/>
    <w:rsid w:val="0024656E"/>
    <w:rsid w:val="0024697B"/>
    <w:rsid w:val="00247079"/>
    <w:rsid w:val="00251DF4"/>
    <w:rsid w:val="00254D01"/>
    <w:rsid w:val="00255BED"/>
    <w:rsid w:val="002569FF"/>
    <w:rsid w:val="00260CD7"/>
    <w:rsid w:val="002630D1"/>
    <w:rsid w:val="002631FD"/>
    <w:rsid w:val="00263F20"/>
    <w:rsid w:val="0026480B"/>
    <w:rsid w:val="00265BDB"/>
    <w:rsid w:val="002666A9"/>
    <w:rsid w:val="00266D36"/>
    <w:rsid w:val="00267015"/>
    <w:rsid w:val="00267833"/>
    <w:rsid w:val="002678D4"/>
    <w:rsid w:val="00267ADD"/>
    <w:rsid w:val="00270FA6"/>
    <w:rsid w:val="002722AA"/>
    <w:rsid w:val="00275D29"/>
    <w:rsid w:val="00277437"/>
    <w:rsid w:val="00282A73"/>
    <w:rsid w:val="002853CB"/>
    <w:rsid w:val="002854D8"/>
    <w:rsid w:val="00285A10"/>
    <w:rsid w:val="00286AF9"/>
    <w:rsid w:val="00286F95"/>
    <w:rsid w:val="0029015B"/>
    <w:rsid w:val="002902DB"/>
    <w:rsid w:val="00291E16"/>
    <w:rsid w:val="002943DF"/>
    <w:rsid w:val="00294E40"/>
    <w:rsid w:val="00295600"/>
    <w:rsid w:val="00296216"/>
    <w:rsid w:val="002A0756"/>
    <w:rsid w:val="002A094B"/>
    <w:rsid w:val="002A5907"/>
    <w:rsid w:val="002A7045"/>
    <w:rsid w:val="002B3302"/>
    <w:rsid w:val="002C1495"/>
    <w:rsid w:val="002C1D96"/>
    <w:rsid w:val="002C21FC"/>
    <w:rsid w:val="002C3A43"/>
    <w:rsid w:val="002C3F62"/>
    <w:rsid w:val="002C43DC"/>
    <w:rsid w:val="002C61EE"/>
    <w:rsid w:val="002C7645"/>
    <w:rsid w:val="002D1075"/>
    <w:rsid w:val="002D16DC"/>
    <w:rsid w:val="002D729E"/>
    <w:rsid w:val="002D78EB"/>
    <w:rsid w:val="002E0D62"/>
    <w:rsid w:val="002E0F7F"/>
    <w:rsid w:val="002E13E3"/>
    <w:rsid w:val="002F26A1"/>
    <w:rsid w:val="002F57C6"/>
    <w:rsid w:val="002F628F"/>
    <w:rsid w:val="002F7A18"/>
    <w:rsid w:val="002F7C87"/>
    <w:rsid w:val="00301132"/>
    <w:rsid w:val="00301272"/>
    <w:rsid w:val="003015C6"/>
    <w:rsid w:val="00301FE6"/>
    <w:rsid w:val="00302041"/>
    <w:rsid w:val="003054E1"/>
    <w:rsid w:val="00305C1A"/>
    <w:rsid w:val="003068BB"/>
    <w:rsid w:val="00310725"/>
    <w:rsid w:val="003110AA"/>
    <w:rsid w:val="00313C10"/>
    <w:rsid w:val="00314CD1"/>
    <w:rsid w:val="0031733D"/>
    <w:rsid w:val="0031740E"/>
    <w:rsid w:val="00317BB7"/>
    <w:rsid w:val="00322225"/>
    <w:rsid w:val="0032400E"/>
    <w:rsid w:val="00324AC4"/>
    <w:rsid w:val="003305FF"/>
    <w:rsid w:val="003308BA"/>
    <w:rsid w:val="00331E51"/>
    <w:rsid w:val="00332907"/>
    <w:rsid w:val="00333A43"/>
    <w:rsid w:val="00333A58"/>
    <w:rsid w:val="00335191"/>
    <w:rsid w:val="00335236"/>
    <w:rsid w:val="0033641F"/>
    <w:rsid w:val="0034267B"/>
    <w:rsid w:val="00342CF1"/>
    <w:rsid w:val="003440BA"/>
    <w:rsid w:val="00344E94"/>
    <w:rsid w:val="00345165"/>
    <w:rsid w:val="00346767"/>
    <w:rsid w:val="00347C67"/>
    <w:rsid w:val="00353003"/>
    <w:rsid w:val="00353562"/>
    <w:rsid w:val="00354784"/>
    <w:rsid w:val="00354C0C"/>
    <w:rsid w:val="003552A1"/>
    <w:rsid w:val="0035583F"/>
    <w:rsid w:val="0035799D"/>
    <w:rsid w:val="003603F8"/>
    <w:rsid w:val="003609D7"/>
    <w:rsid w:val="00360A22"/>
    <w:rsid w:val="003629DD"/>
    <w:rsid w:val="00363309"/>
    <w:rsid w:val="00363973"/>
    <w:rsid w:val="00363C85"/>
    <w:rsid w:val="00363EBB"/>
    <w:rsid w:val="00364F2B"/>
    <w:rsid w:val="00365DBA"/>
    <w:rsid w:val="00365EDA"/>
    <w:rsid w:val="003664B9"/>
    <w:rsid w:val="003670C0"/>
    <w:rsid w:val="003676D9"/>
    <w:rsid w:val="00371FE0"/>
    <w:rsid w:val="0037510C"/>
    <w:rsid w:val="00376A2B"/>
    <w:rsid w:val="00377D8C"/>
    <w:rsid w:val="00380EC4"/>
    <w:rsid w:val="00383E24"/>
    <w:rsid w:val="00386835"/>
    <w:rsid w:val="0039105F"/>
    <w:rsid w:val="00391FBD"/>
    <w:rsid w:val="0039285F"/>
    <w:rsid w:val="00395267"/>
    <w:rsid w:val="0039719C"/>
    <w:rsid w:val="0039720D"/>
    <w:rsid w:val="003A307A"/>
    <w:rsid w:val="003A6755"/>
    <w:rsid w:val="003A783B"/>
    <w:rsid w:val="003B04C6"/>
    <w:rsid w:val="003B085A"/>
    <w:rsid w:val="003B36FF"/>
    <w:rsid w:val="003C0110"/>
    <w:rsid w:val="003C1D2D"/>
    <w:rsid w:val="003C529C"/>
    <w:rsid w:val="003C6C4E"/>
    <w:rsid w:val="003C7692"/>
    <w:rsid w:val="003D0551"/>
    <w:rsid w:val="003D1D01"/>
    <w:rsid w:val="003D24EF"/>
    <w:rsid w:val="003D4E99"/>
    <w:rsid w:val="003E0EF4"/>
    <w:rsid w:val="003E0F50"/>
    <w:rsid w:val="003E1C1F"/>
    <w:rsid w:val="003E1FEA"/>
    <w:rsid w:val="003E2D60"/>
    <w:rsid w:val="003E4202"/>
    <w:rsid w:val="003E46CC"/>
    <w:rsid w:val="003E50DB"/>
    <w:rsid w:val="003E59B4"/>
    <w:rsid w:val="003E7B03"/>
    <w:rsid w:val="003F0A6D"/>
    <w:rsid w:val="003F217E"/>
    <w:rsid w:val="003F297D"/>
    <w:rsid w:val="003F2FC0"/>
    <w:rsid w:val="003F3036"/>
    <w:rsid w:val="003F3EC5"/>
    <w:rsid w:val="003F585E"/>
    <w:rsid w:val="003F6873"/>
    <w:rsid w:val="003F7BC5"/>
    <w:rsid w:val="00401124"/>
    <w:rsid w:val="004018FF"/>
    <w:rsid w:val="004023E2"/>
    <w:rsid w:val="00407A03"/>
    <w:rsid w:val="00414832"/>
    <w:rsid w:val="00414F97"/>
    <w:rsid w:val="00415450"/>
    <w:rsid w:val="004167EB"/>
    <w:rsid w:val="0042001D"/>
    <w:rsid w:val="00421095"/>
    <w:rsid w:val="0042119D"/>
    <w:rsid w:val="00422389"/>
    <w:rsid w:val="00424006"/>
    <w:rsid w:val="004240FB"/>
    <w:rsid w:val="0042461F"/>
    <w:rsid w:val="004259F1"/>
    <w:rsid w:val="00425FCB"/>
    <w:rsid w:val="00427573"/>
    <w:rsid w:val="00427D45"/>
    <w:rsid w:val="00432C38"/>
    <w:rsid w:val="00434FA1"/>
    <w:rsid w:val="0043550A"/>
    <w:rsid w:val="00436F5A"/>
    <w:rsid w:val="00437713"/>
    <w:rsid w:val="00440437"/>
    <w:rsid w:val="00440896"/>
    <w:rsid w:val="00440EFF"/>
    <w:rsid w:val="004419D2"/>
    <w:rsid w:val="004431C1"/>
    <w:rsid w:val="00443580"/>
    <w:rsid w:val="00446F2E"/>
    <w:rsid w:val="0045166A"/>
    <w:rsid w:val="00451D11"/>
    <w:rsid w:val="00451DE4"/>
    <w:rsid w:val="00452411"/>
    <w:rsid w:val="004534E1"/>
    <w:rsid w:val="0045539A"/>
    <w:rsid w:val="00456294"/>
    <w:rsid w:val="0045659A"/>
    <w:rsid w:val="00457484"/>
    <w:rsid w:val="00457FA4"/>
    <w:rsid w:val="0046023F"/>
    <w:rsid w:val="00462E35"/>
    <w:rsid w:val="00463D1A"/>
    <w:rsid w:val="0046400D"/>
    <w:rsid w:val="00464692"/>
    <w:rsid w:val="0046494F"/>
    <w:rsid w:val="0046651B"/>
    <w:rsid w:val="004740D6"/>
    <w:rsid w:val="00476E4E"/>
    <w:rsid w:val="00477912"/>
    <w:rsid w:val="00480B93"/>
    <w:rsid w:val="00483F51"/>
    <w:rsid w:val="004847A9"/>
    <w:rsid w:val="00487FF9"/>
    <w:rsid w:val="00493807"/>
    <w:rsid w:val="0049497A"/>
    <w:rsid w:val="00494D50"/>
    <w:rsid w:val="0049511D"/>
    <w:rsid w:val="004962DE"/>
    <w:rsid w:val="004964CA"/>
    <w:rsid w:val="00496657"/>
    <w:rsid w:val="0049797C"/>
    <w:rsid w:val="004A0327"/>
    <w:rsid w:val="004A05B1"/>
    <w:rsid w:val="004A1126"/>
    <w:rsid w:val="004A11F1"/>
    <w:rsid w:val="004A1708"/>
    <w:rsid w:val="004A1724"/>
    <w:rsid w:val="004A1EF8"/>
    <w:rsid w:val="004A2022"/>
    <w:rsid w:val="004A4A52"/>
    <w:rsid w:val="004A4E72"/>
    <w:rsid w:val="004A5518"/>
    <w:rsid w:val="004A69F9"/>
    <w:rsid w:val="004B226F"/>
    <w:rsid w:val="004B4959"/>
    <w:rsid w:val="004B5D69"/>
    <w:rsid w:val="004B7A20"/>
    <w:rsid w:val="004C0B22"/>
    <w:rsid w:val="004C24F7"/>
    <w:rsid w:val="004C262E"/>
    <w:rsid w:val="004C3028"/>
    <w:rsid w:val="004C33BC"/>
    <w:rsid w:val="004C3DE1"/>
    <w:rsid w:val="004C63F8"/>
    <w:rsid w:val="004C6B33"/>
    <w:rsid w:val="004C77F3"/>
    <w:rsid w:val="004D35E3"/>
    <w:rsid w:val="004D500A"/>
    <w:rsid w:val="004D58F7"/>
    <w:rsid w:val="004D6E8B"/>
    <w:rsid w:val="004E03EC"/>
    <w:rsid w:val="004E38C7"/>
    <w:rsid w:val="004E431D"/>
    <w:rsid w:val="004E4BAC"/>
    <w:rsid w:val="004E6853"/>
    <w:rsid w:val="004F0781"/>
    <w:rsid w:val="004F0BDD"/>
    <w:rsid w:val="004F160C"/>
    <w:rsid w:val="004F58DB"/>
    <w:rsid w:val="004F7CF0"/>
    <w:rsid w:val="00500E72"/>
    <w:rsid w:val="005014BE"/>
    <w:rsid w:val="005021A3"/>
    <w:rsid w:val="005025D5"/>
    <w:rsid w:val="00502FD7"/>
    <w:rsid w:val="00503834"/>
    <w:rsid w:val="00503A18"/>
    <w:rsid w:val="0050413A"/>
    <w:rsid w:val="0050428F"/>
    <w:rsid w:val="00510A63"/>
    <w:rsid w:val="00510F1A"/>
    <w:rsid w:val="0051394E"/>
    <w:rsid w:val="00513E1F"/>
    <w:rsid w:val="005156D1"/>
    <w:rsid w:val="0051581D"/>
    <w:rsid w:val="00515FEC"/>
    <w:rsid w:val="005174AC"/>
    <w:rsid w:val="00520ADC"/>
    <w:rsid w:val="0052369B"/>
    <w:rsid w:val="005244E9"/>
    <w:rsid w:val="00524613"/>
    <w:rsid w:val="005268E2"/>
    <w:rsid w:val="00526DE1"/>
    <w:rsid w:val="005274B4"/>
    <w:rsid w:val="00527B57"/>
    <w:rsid w:val="005306C8"/>
    <w:rsid w:val="0053163C"/>
    <w:rsid w:val="0053228A"/>
    <w:rsid w:val="00532CD8"/>
    <w:rsid w:val="00533928"/>
    <w:rsid w:val="00534866"/>
    <w:rsid w:val="00535F0B"/>
    <w:rsid w:val="00536462"/>
    <w:rsid w:val="00537AC0"/>
    <w:rsid w:val="005419D2"/>
    <w:rsid w:val="005423B5"/>
    <w:rsid w:val="005423D1"/>
    <w:rsid w:val="00543AA0"/>
    <w:rsid w:val="00543D23"/>
    <w:rsid w:val="0054444E"/>
    <w:rsid w:val="00545467"/>
    <w:rsid w:val="005458C2"/>
    <w:rsid w:val="0054660E"/>
    <w:rsid w:val="005504B8"/>
    <w:rsid w:val="00553E11"/>
    <w:rsid w:val="00554AEF"/>
    <w:rsid w:val="00556062"/>
    <w:rsid w:val="0056482B"/>
    <w:rsid w:val="00564FD1"/>
    <w:rsid w:val="0056563F"/>
    <w:rsid w:val="00565BAF"/>
    <w:rsid w:val="00566AFD"/>
    <w:rsid w:val="00572871"/>
    <w:rsid w:val="00573C78"/>
    <w:rsid w:val="0057494D"/>
    <w:rsid w:val="005810D1"/>
    <w:rsid w:val="0058115A"/>
    <w:rsid w:val="00581A5E"/>
    <w:rsid w:val="005825A9"/>
    <w:rsid w:val="00587DFD"/>
    <w:rsid w:val="0059129A"/>
    <w:rsid w:val="005914E7"/>
    <w:rsid w:val="00591B6C"/>
    <w:rsid w:val="0059205B"/>
    <w:rsid w:val="00595C27"/>
    <w:rsid w:val="005A0FAF"/>
    <w:rsid w:val="005A15A0"/>
    <w:rsid w:val="005A2A1F"/>
    <w:rsid w:val="005A4C1D"/>
    <w:rsid w:val="005A5612"/>
    <w:rsid w:val="005A7E5B"/>
    <w:rsid w:val="005B015B"/>
    <w:rsid w:val="005B0358"/>
    <w:rsid w:val="005B16A7"/>
    <w:rsid w:val="005B177E"/>
    <w:rsid w:val="005B2071"/>
    <w:rsid w:val="005B2208"/>
    <w:rsid w:val="005B2EE0"/>
    <w:rsid w:val="005B3E3A"/>
    <w:rsid w:val="005B4A9F"/>
    <w:rsid w:val="005C0FDD"/>
    <w:rsid w:val="005C2E09"/>
    <w:rsid w:val="005C42DE"/>
    <w:rsid w:val="005C617B"/>
    <w:rsid w:val="005C766A"/>
    <w:rsid w:val="005D1249"/>
    <w:rsid w:val="005D13B6"/>
    <w:rsid w:val="005D293B"/>
    <w:rsid w:val="005D40CA"/>
    <w:rsid w:val="005E193D"/>
    <w:rsid w:val="005E36E2"/>
    <w:rsid w:val="005E4DBD"/>
    <w:rsid w:val="005E691E"/>
    <w:rsid w:val="005F07E9"/>
    <w:rsid w:val="005F0C7A"/>
    <w:rsid w:val="005F0F66"/>
    <w:rsid w:val="005F19D1"/>
    <w:rsid w:val="005F3184"/>
    <w:rsid w:val="005F38DE"/>
    <w:rsid w:val="005F3FBE"/>
    <w:rsid w:val="005F53D5"/>
    <w:rsid w:val="005F60EA"/>
    <w:rsid w:val="006002CC"/>
    <w:rsid w:val="00600A3E"/>
    <w:rsid w:val="0060135F"/>
    <w:rsid w:val="00604BAF"/>
    <w:rsid w:val="0060633B"/>
    <w:rsid w:val="00606BB3"/>
    <w:rsid w:val="00607BFE"/>
    <w:rsid w:val="006107B1"/>
    <w:rsid w:val="00610B30"/>
    <w:rsid w:val="006127D1"/>
    <w:rsid w:val="006174DA"/>
    <w:rsid w:val="006177EE"/>
    <w:rsid w:val="00620B68"/>
    <w:rsid w:val="00623EDE"/>
    <w:rsid w:val="006245A0"/>
    <w:rsid w:val="006272B2"/>
    <w:rsid w:val="00627467"/>
    <w:rsid w:val="00630EAD"/>
    <w:rsid w:val="0063468A"/>
    <w:rsid w:val="006350EE"/>
    <w:rsid w:val="0063596F"/>
    <w:rsid w:val="0064156C"/>
    <w:rsid w:val="00641BB1"/>
    <w:rsid w:val="00644661"/>
    <w:rsid w:val="006449E5"/>
    <w:rsid w:val="0064525F"/>
    <w:rsid w:val="006459B2"/>
    <w:rsid w:val="006469F7"/>
    <w:rsid w:val="00647301"/>
    <w:rsid w:val="00647DF8"/>
    <w:rsid w:val="00647FDF"/>
    <w:rsid w:val="00651AA5"/>
    <w:rsid w:val="006524B6"/>
    <w:rsid w:val="006556F0"/>
    <w:rsid w:val="00656F21"/>
    <w:rsid w:val="00657CB1"/>
    <w:rsid w:val="00660D74"/>
    <w:rsid w:val="0066193D"/>
    <w:rsid w:val="00662ED4"/>
    <w:rsid w:val="00663C49"/>
    <w:rsid w:val="00664697"/>
    <w:rsid w:val="0066633E"/>
    <w:rsid w:val="00666514"/>
    <w:rsid w:val="00667714"/>
    <w:rsid w:val="00671B6F"/>
    <w:rsid w:val="0067291E"/>
    <w:rsid w:val="006750E5"/>
    <w:rsid w:val="0067583F"/>
    <w:rsid w:val="006776D2"/>
    <w:rsid w:val="00681418"/>
    <w:rsid w:val="006820F1"/>
    <w:rsid w:val="00682207"/>
    <w:rsid w:val="0068261E"/>
    <w:rsid w:val="006833F8"/>
    <w:rsid w:val="0068340D"/>
    <w:rsid w:val="006850C6"/>
    <w:rsid w:val="006858F5"/>
    <w:rsid w:val="00686307"/>
    <w:rsid w:val="00690412"/>
    <w:rsid w:val="006913DE"/>
    <w:rsid w:val="00691AC3"/>
    <w:rsid w:val="00691F08"/>
    <w:rsid w:val="00694CAF"/>
    <w:rsid w:val="0069669E"/>
    <w:rsid w:val="00697321"/>
    <w:rsid w:val="006A17AA"/>
    <w:rsid w:val="006A1F93"/>
    <w:rsid w:val="006A32A6"/>
    <w:rsid w:val="006A51A1"/>
    <w:rsid w:val="006A51E5"/>
    <w:rsid w:val="006B04A7"/>
    <w:rsid w:val="006B143C"/>
    <w:rsid w:val="006B237B"/>
    <w:rsid w:val="006B3B19"/>
    <w:rsid w:val="006B41EF"/>
    <w:rsid w:val="006B43C4"/>
    <w:rsid w:val="006B7C86"/>
    <w:rsid w:val="006B7FE6"/>
    <w:rsid w:val="006C0852"/>
    <w:rsid w:val="006C60CA"/>
    <w:rsid w:val="006D2827"/>
    <w:rsid w:val="006D5119"/>
    <w:rsid w:val="006D6746"/>
    <w:rsid w:val="006E2D69"/>
    <w:rsid w:val="006E397A"/>
    <w:rsid w:val="006F0EAE"/>
    <w:rsid w:val="006F1CF5"/>
    <w:rsid w:val="006F2899"/>
    <w:rsid w:val="006F2BA9"/>
    <w:rsid w:val="006F2C2D"/>
    <w:rsid w:val="006F5E8C"/>
    <w:rsid w:val="006F6B81"/>
    <w:rsid w:val="006F700E"/>
    <w:rsid w:val="007016B2"/>
    <w:rsid w:val="007022A5"/>
    <w:rsid w:val="0070303A"/>
    <w:rsid w:val="007066ED"/>
    <w:rsid w:val="00710AC4"/>
    <w:rsid w:val="00710CCE"/>
    <w:rsid w:val="00711F3A"/>
    <w:rsid w:val="00714C25"/>
    <w:rsid w:val="00716DDB"/>
    <w:rsid w:val="00716E0C"/>
    <w:rsid w:val="00717960"/>
    <w:rsid w:val="00717FE7"/>
    <w:rsid w:val="00721BA7"/>
    <w:rsid w:val="007254D1"/>
    <w:rsid w:val="0073090B"/>
    <w:rsid w:val="00730DF8"/>
    <w:rsid w:val="0073586F"/>
    <w:rsid w:val="007404C7"/>
    <w:rsid w:val="00742C94"/>
    <w:rsid w:val="007436D4"/>
    <w:rsid w:val="00746475"/>
    <w:rsid w:val="00747B28"/>
    <w:rsid w:val="00747E1A"/>
    <w:rsid w:val="00754804"/>
    <w:rsid w:val="0075545E"/>
    <w:rsid w:val="007570AE"/>
    <w:rsid w:val="007575A1"/>
    <w:rsid w:val="00760583"/>
    <w:rsid w:val="007619E6"/>
    <w:rsid w:val="00762567"/>
    <w:rsid w:val="00764BEF"/>
    <w:rsid w:val="0076707E"/>
    <w:rsid w:val="007674C2"/>
    <w:rsid w:val="00767D18"/>
    <w:rsid w:val="0077231D"/>
    <w:rsid w:val="00772E3F"/>
    <w:rsid w:val="00773276"/>
    <w:rsid w:val="00774997"/>
    <w:rsid w:val="00775D48"/>
    <w:rsid w:val="00776CB2"/>
    <w:rsid w:val="00780C4D"/>
    <w:rsid w:val="00780DC4"/>
    <w:rsid w:val="0078106C"/>
    <w:rsid w:val="00782BEB"/>
    <w:rsid w:val="00783AEC"/>
    <w:rsid w:val="0078441B"/>
    <w:rsid w:val="00786C00"/>
    <w:rsid w:val="007870EB"/>
    <w:rsid w:val="007901DB"/>
    <w:rsid w:val="00790DA5"/>
    <w:rsid w:val="00790E03"/>
    <w:rsid w:val="00791255"/>
    <w:rsid w:val="007929A9"/>
    <w:rsid w:val="007929F3"/>
    <w:rsid w:val="0079300F"/>
    <w:rsid w:val="007931F1"/>
    <w:rsid w:val="00793582"/>
    <w:rsid w:val="00793820"/>
    <w:rsid w:val="00793A13"/>
    <w:rsid w:val="00796E42"/>
    <w:rsid w:val="007974B0"/>
    <w:rsid w:val="00797CC1"/>
    <w:rsid w:val="007A0AC3"/>
    <w:rsid w:val="007B20B3"/>
    <w:rsid w:val="007B7F6C"/>
    <w:rsid w:val="007C0884"/>
    <w:rsid w:val="007C131F"/>
    <w:rsid w:val="007C1EED"/>
    <w:rsid w:val="007C410A"/>
    <w:rsid w:val="007C45B4"/>
    <w:rsid w:val="007C5B15"/>
    <w:rsid w:val="007C6EFA"/>
    <w:rsid w:val="007C74C2"/>
    <w:rsid w:val="007D0DBF"/>
    <w:rsid w:val="007D1160"/>
    <w:rsid w:val="007D170D"/>
    <w:rsid w:val="007D2994"/>
    <w:rsid w:val="007D55FB"/>
    <w:rsid w:val="007D57C6"/>
    <w:rsid w:val="007D61EA"/>
    <w:rsid w:val="007E0C80"/>
    <w:rsid w:val="007E123B"/>
    <w:rsid w:val="007E12E3"/>
    <w:rsid w:val="007E52CD"/>
    <w:rsid w:val="007E5941"/>
    <w:rsid w:val="007E76FD"/>
    <w:rsid w:val="007F1D2B"/>
    <w:rsid w:val="007F699A"/>
    <w:rsid w:val="007F7119"/>
    <w:rsid w:val="007F7DF9"/>
    <w:rsid w:val="00800CE5"/>
    <w:rsid w:val="00802408"/>
    <w:rsid w:val="00802B03"/>
    <w:rsid w:val="00805541"/>
    <w:rsid w:val="00806F40"/>
    <w:rsid w:val="00807140"/>
    <w:rsid w:val="00807681"/>
    <w:rsid w:val="008105EE"/>
    <w:rsid w:val="00810F52"/>
    <w:rsid w:val="00811A29"/>
    <w:rsid w:val="008120AA"/>
    <w:rsid w:val="00812311"/>
    <w:rsid w:val="008135CA"/>
    <w:rsid w:val="0081385C"/>
    <w:rsid w:val="0081495B"/>
    <w:rsid w:val="008166CD"/>
    <w:rsid w:val="0081671B"/>
    <w:rsid w:val="00817CEE"/>
    <w:rsid w:val="008214AB"/>
    <w:rsid w:val="00822065"/>
    <w:rsid w:val="008222C7"/>
    <w:rsid w:val="008227D2"/>
    <w:rsid w:val="00823567"/>
    <w:rsid w:val="00823F68"/>
    <w:rsid w:val="00824400"/>
    <w:rsid w:val="00826410"/>
    <w:rsid w:val="00827810"/>
    <w:rsid w:val="008337A7"/>
    <w:rsid w:val="0083388B"/>
    <w:rsid w:val="00833FDF"/>
    <w:rsid w:val="00836472"/>
    <w:rsid w:val="0084163D"/>
    <w:rsid w:val="00844E76"/>
    <w:rsid w:val="00845CBC"/>
    <w:rsid w:val="00846BB4"/>
    <w:rsid w:val="00847E58"/>
    <w:rsid w:val="00850563"/>
    <w:rsid w:val="0085201C"/>
    <w:rsid w:val="0085333A"/>
    <w:rsid w:val="008567C2"/>
    <w:rsid w:val="00857100"/>
    <w:rsid w:val="00861096"/>
    <w:rsid w:val="00862FA6"/>
    <w:rsid w:val="008631FF"/>
    <w:rsid w:val="0086326C"/>
    <w:rsid w:val="008654AE"/>
    <w:rsid w:val="00865BC8"/>
    <w:rsid w:val="00865E57"/>
    <w:rsid w:val="00872959"/>
    <w:rsid w:val="00872D14"/>
    <w:rsid w:val="00875D83"/>
    <w:rsid w:val="0087694C"/>
    <w:rsid w:val="00877C58"/>
    <w:rsid w:val="00882F25"/>
    <w:rsid w:val="00884025"/>
    <w:rsid w:val="008856DF"/>
    <w:rsid w:val="008863B4"/>
    <w:rsid w:val="00887220"/>
    <w:rsid w:val="008878F6"/>
    <w:rsid w:val="008930FD"/>
    <w:rsid w:val="00893BA2"/>
    <w:rsid w:val="00895F61"/>
    <w:rsid w:val="008972C1"/>
    <w:rsid w:val="008A0ACD"/>
    <w:rsid w:val="008A1BAE"/>
    <w:rsid w:val="008A21AD"/>
    <w:rsid w:val="008A21FF"/>
    <w:rsid w:val="008A3E81"/>
    <w:rsid w:val="008B1703"/>
    <w:rsid w:val="008B1B37"/>
    <w:rsid w:val="008B3407"/>
    <w:rsid w:val="008B42A5"/>
    <w:rsid w:val="008B535E"/>
    <w:rsid w:val="008B5688"/>
    <w:rsid w:val="008B7F50"/>
    <w:rsid w:val="008C6B54"/>
    <w:rsid w:val="008D0A73"/>
    <w:rsid w:val="008D0F17"/>
    <w:rsid w:val="008D22A8"/>
    <w:rsid w:val="008D239B"/>
    <w:rsid w:val="008D56B0"/>
    <w:rsid w:val="008D66E9"/>
    <w:rsid w:val="008E3D13"/>
    <w:rsid w:val="008E4546"/>
    <w:rsid w:val="008E58A5"/>
    <w:rsid w:val="008E60E1"/>
    <w:rsid w:val="008E7361"/>
    <w:rsid w:val="008F030D"/>
    <w:rsid w:val="008F2712"/>
    <w:rsid w:val="008F2F63"/>
    <w:rsid w:val="008F58B5"/>
    <w:rsid w:val="008F5EC1"/>
    <w:rsid w:val="008F76EA"/>
    <w:rsid w:val="00901EE8"/>
    <w:rsid w:val="009056B4"/>
    <w:rsid w:val="00906EBB"/>
    <w:rsid w:val="00907444"/>
    <w:rsid w:val="00911B06"/>
    <w:rsid w:val="00912907"/>
    <w:rsid w:val="00913F78"/>
    <w:rsid w:val="009159DD"/>
    <w:rsid w:val="00916150"/>
    <w:rsid w:val="00917BE5"/>
    <w:rsid w:val="00917D4E"/>
    <w:rsid w:val="009224EC"/>
    <w:rsid w:val="0092277C"/>
    <w:rsid w:val="00923973"/>
    <w:rsid w:val="00923FB4"/>
    <w:rsid w:val="00924353"/>
    <w:rsid w:val="00925C19"/>
    <w:rsid w:val="009260BB"/>
    <w:rsid w:val="00926E62"/>
    <w:rsid w:val="00930FE2"/>
    <w:rsid w:val="0093407D"/>
    <w:rsid w:val="00935311"/>
    <w:rsid w:val="0094164E"/>
    <w:rsid w:val="009463D0"/>
    <w:rsid w:val="009500A7"/>
    <w:rsid w:val="00950FCB"/>
    <w:rsid w:val="009545BE"/>
    <w:rsid w:val="00954FE3"/>
    <w:rsid w:val="00957504"/>
    <w:rsid w:val="0096052D"/>
    <w:rsid w:val="0096081D"/>
    <w:rsid w:val="00960DFF"/>
    <w:rsid w:val="0096162D"/>
    <w:rsid w:val="00964FC8"/>
    <w:rsid w:val="0096612D"/>
    <w:rsid w:val="00970C10"/>
    <w:rsid w:val="00971710"/>
    <w:rsid w:val="00975307"/>
    <w:rsid w:val="00976009"/>
    <w:rsid w:val="00980BBE"/>
    <w:rsid w:val="00981203"/>
    <w:rsid w:val="009825BC"/>
    <w:rsid w:val="009827AC"/>
    <w:rsid w:val="00985FCF"/>
    <w:rsid w:val="0099414C"/>
    <w:rsid w:val="00996140"/>
    <w:rsid w:val="0099675A"/>
    <w:rsid w:val="00996AE9"/>
    <w:rsid w:val="00997F0E"/>
    <w:rsid w:val="009A15A7"/>
    <w:rsid w:val="009A2C73"/>
    <w:rsid w:val="009A3044"/>
    <w:rsid w:val="009A40A7"/>
    <w:rsid w:val="009A49F4"/>
    <w:rsid w:val="009A5D98"/>
    <w:rsid w:val="009A615F"/>
    <w:rsid w:val="009A73A5"/>
    <w:rsid w:val="009C1727"/>
    <w:rsid w:val="009C2371"/>
    <w:rsid w:val="009C7180"/>
    <w:rsid w:val="009C78CC"/>
    <w:rsid w:val="009D1471"/>
    <w:rsid w:val="009D311A"/>
    <w:rsid w:val="009D3801"/>
    <w:rsid w:val="009D3814"/>
    <w:rsid w:val="009D47F7"/>
    <w:rsid w:val="009D492C"/>
    <w:rsid w:val="009D4E77"/>
    <w:rsid w:val="009D597C"/>
    <w:rsid w:val="009D6A1F"/>
    <w:rsid w:val="009D77A3"/>
    <w:rsid w:val="009E0867"/>
    <w:rsid w:val="009E1676"/>
    <w:rsid w:val="009E17F5"/>
    <w:rsid w:val="009E220B"/>
    <w:rsid w:val="009E288E"/>
    <w:rsid w:val="009E4556"/>
    <w:rsid w:val="009F1A67"/>
    <w:rsid w:val="009F432D"/>
    <w:rsid w:val="009F449E"/>
    <w:rsid w:val="009F46BB"/>
    <w:rsid w:val="009F6301"/>
    <w:rsid w:val="009F7574"/>
    <w:rsid w:val="00A00FB9"/>
    <w:rsid w:val="00A0198C"/>
    <w:rsid w:val="00A025C6"/>
    <w:rsid w:val="00A04641"/>
    <w:rsid w:val="00A04E3F"/>
    <w:rsid w:val="00A05682"/>
    <w:rsid w:val="00A06956"/>
    <w:rsid w:val="00A0741E"/>
    <w:rsid w:val="00A10BF5"/>
    <w:rsid w:val="00A12F86"/>
    <w:rsid w:val="00A147E5"/>
    <w:rsid w:val="00A14AB9"/>
    <w:rsid w:val="00A157D4"/>
    <w:rsid w:val="00A15EAC"/>
    <w:rsid w:val="00A221A9"/>
    <w:rsid w:val="00A27908"/>
    <w:rsid w:val="00A348A9"/>
    <w:rsid w:val="00A353D7"/>
    <w:rsid w:val="00A36F39"/>
    <w:rsid w:val="00A402FF"/>
    <w:rsid w:val="00A4111F"/>
    <w:rsid w:val="00A4171F"/>
    <w:rsid w:val="00A41C15"/>
    <w:rsid w:val="00A426B4"/>
    <w:rsid w:val="00A4646D"/>
    <w:rsid w:val="00A476D5"/>
    <w:rsid w:val="00A47C3E"/>
    <w:rsid w:val="00A507C3"/>
    <w:rsid w:val="00A51183"/>
    <w:rsid w:val="00A51304"/>
    <w:rsid w:val="00A5171F"/>
    <w:rsid w:val="00A542A8"/>
    <w:rsid w:val="00A54FCC"/>
    <w:rsid w:val="00A574C8"/>
    <w:rsid w:val="00A605DA"/>
    <w:rsid w:val="00A61060"/>
    <w:rsid w:val="00A62D14"/>
    <w:rsid w:val="00A632D0"/>
    <w:rsid w:val="00A639FF"/>
    <w:rsid w:val="00A642F1"/>
    <w:rsid w:val="00A65A05"/>
    <w:rsid w:val="00A66A22"/>
    <w:rsid w:val="00A67C4D"/>
    <w:rsid w:val="00A73267"/>
    <w:rsid w:val="00A736A6"/>
    <w:rsid w:val="00A736ED"/>
    <w:rsid w:val="00A74803"/>
    <w:rsid w:val="00A75D40"/>
    <w:rsid w:val="00A8059E"/>
    <w:rsid w:val="00A80BD5"/>
    <w:rsid w:val="00A839F1"/>
    <w:rsid w:val="00A84703"/>
    <w:rsid w:val="00A86822"/>
    <w:rsid w:val="00A90BC5"/>
    <w:rsid w:val="00A91ABA"/>
    <w:rsid w:val="00A920B0"/>
    <w:rsid w:val="00A9234C"/>
    <w:rsid w:val="00A925D4"/>
    <w:rsid w:val="00AA53AE"/>
    <w:rsid w:val="00AA6B5E"/>
    <w:rsid w:val="00AB0ED7"/>
    <w:rsid w:val="00AB0FD8"/>
    <w:rsid w:val="00AB22D4"/>
    <w:rsid w:val="00AB2719"/>
    <w:rsid w:val="00AB6F0F"/>
    <w:rsid w:val="00AB7A61"/>
    <w:rsid w:val="00AC3286"/>
    <w:rsid w:val="00AC4213"/>
    <w:rsid w:val="00AC5BD1"/>
    <w:rsid w:val="00AC7B3B"/>
    <w:rsid w:val="00AC7E4D"/>
    <w:rsid w:val="00AC7F71"/>
    <w:rsid w:val="00AD01E0"/>
    <w:rsid w:val="00AD103D"/>
    <w:rsid w:val="00AD24C4"/>
    <w:rsid w:val="00AD28B8"/>
    <w:rsid w:val="00AD2D56"/>
    <w:rsid w:val="00AD2EFB"/>
    <w:rsid w:val="00AD382C"/>
    <w:rsid w:val="00AD42D9"/>
    <w:rsid w:val="00AD64B5"/>
    <w:rsid w:val="00AE0574"/>
    <w:rsid w:val="00AE08B7"/>
    <w:rsid w:val="00AE2761"/>
    <w:rsid w:val="00AE7538"/>
    <w:rsid w:val="00AE7CDD"/>
    <w:rsid w:val="00AF0274"/>
    <w:rsid w:val="00AF0EFC"/>
    <w:rsid w:val="00AF2DAF"/>
    <w:rsid w:val="00AF34C8"/>
    <w:rsid w:val="00AF3708"/>
    <w:rsid w:val="00AF39E7"/>
    <w:rsid w:val="00AF3D8D"/>
    <w:rsid w:val="00AF4B20"/>
    <w:rsid w:val="00AF4EB1"/>
    <w:rsid w:val="00AF5026"/>
    <w:rsid w:val="00AF743C"/>
    <w:rsid w:val="00AF7A01"/>
    <w:rsid w:val="00AF7D2A"/>
    <w:rsid w:val="00B00C60"/>
    <w:rsid w:val="00B00D4C"/>
    <w:rsid w:val="00B01132"/>
    <w:rsid w:val="00B0284C"/>
    <w:rsid w:val="00B032CE"/>
    <w:rsid w:val="00B03D87"/>
    <w:rsid w:val="00B07546"/>
    <w:rsid w:val="00B1002D"/>
    <w:rsid w:val="00B102EC"/>
    <w:rsid w:val="00B10652"/>
    <w:rsid w:val="00B111C4"/>
    <w:rsid w:val="00B11EB8"/>
    <w:rsid w:val="00B12EA0"/>
    <w:rsid w:val="00B1653E"/>
    <w:rsid w:val="00B166E0"/>
    <w:rsid w:val="00B20723"/>
    <w:rsid w:val="00B20852"/>
    <w:rsid w:val="00B221F9"/>
    <w:rsid w:val="00B24876"/>
    <w:rsid w:val="00B260CD"/>
    <w:rsid w:val="00B261F0"/>
    <w:rsid w:val="00B303ED"/>
    <w:rsid w:val="00B31D92"/>
    <w:rsid w:val="00B323F5"/>
    <w:rsid w:val="00B34C8D"/>
    <w:rsid w:val="00B351F3"/>
    <w:rsid w:val="00B35D61"/>
    <w:rsid w:val="00B36459"/>
    <w:rsid w:val="00B3778E"/>
    <w:rsid w:val="00B40220"/>
    <w:rsid w:val="00B410CD"/>
    <w:rsid w:val="00B43847"/>
    <w:rsid w:val="00B45F0C"/>
    <w:rsid w:val="00B47279"/>
    <w:rsid w:val="00B53F88"/>
    <w:rsid w:val="00B548DF"/>
    <w:rsid w:val="00B556B9"/>
    <w:rsid w:val="00B56730"/>
    <w:rsid w:val="00B56E1D"/>
    <w:rsid w:val="00B610BA"/>
    <w:rsid w:val="00B6278C"/>
    <w:rsid w:val="00B63779"/>
    <w:rsid w:val="00B65B85"/>
    <w:rsid w:val="00B671F3"/>
    <w:rsid w:val="00B73BA3"/>
    <w:rsid w:val="00B749B4"/>
    <w:rsid w:val="00B77421"/>
    <w:rsid w:val="00B808E6"/>
    <w:rsid w:val="00B82735"/>
    <w:rsid w:val="00B84566"/>
    <w:rsid w:val="00B8524E"/>
    <w:rsid w:val="00B86D59"/>
    <w:rsid w:val="00B94E91"/>
    <w:rsid w:val="00B952FA"/>
    <w:rsid w:val="00B96639"/>
    <w:rsid w:val="00B973EB"/>
    <w:rsid w:val="00BA0B72"/>
    <w:rsid w:val="00BA20FF"/>
    <w:rsid w:val="00BA2B2B"/>
    <w:rsid w:val="00BA76FD"/>
    <w:rsid w:val="00BB47D7"/>
    <w:rsid w:val="00BB7041"/>
    <w:rsid w:val="00BB7863"/>
    <w:rsid w:val="00BBE495"/>
    <w:rsid w:val="00BC2292"/>
    <w:rsid w:val="00BC29AC"/>
    <w:rsid w:val="00BC3013"/>
    <w:rsid w:val="00BC451C"/>
    <w:rsid w:val="00BC499B"/>
    <w:rsid w:val="00BC5B2C"/>
    <w:rsid w:val="00BC5E25"/>
    <w:rsid w:val="00BD40C2"/>
    <w:rsid w:val="00BD413C"/>
    <w:rsid w:val="00BD6551"/>
    <w:rsid w:val="00BD73D5"/>
    <w:rsid w:val="00BD7452"/>
    <w:rsid w:val="00BE08D7"/>
    <w:rsid w:val="00BE0C21"/>
    <w:rsid w:val="00BE3370"/>
    <w:rsid w:val="00BE358E"/>
    <w:rsid w:val="00BE37C2"/>
    <w:rsid w:val="00BE4A29"/>
    <w:rsid w:val="00BE5C0E"/>
    <w:rsid w:val="00BF03C7"/>
    <w:rsid w:val="00BF0622"/>
    <w:rsid w:val="00BF156E"/>
    <w:rsid w:val="00BF38CE"/>
    <w:rsid w:val="00BF4653"/>
    <w:rsid w:val="00BF51F5"/>
    <w:rsid w:val="00BF5D66"/>
    <w:rsid w:val="00BF6304"/>
    <w:rsid w:val="00BF6725"/>
    <w:rsid w:val="00C06C17"/>
    <w:rsid w:val="00C15415"/>
    <w:rsid w:val="00C159E7"/>
    <w:rsid w:val="00C15C76"/>
    <w:rsid w:val="00C173D7"/>
    <w:rsid w:val="00C176B3"/>
    <w:rsid w:val="00C219D7"/>
    <w:rsid w:val="00C236BF"/>
    <w:rsid w:val="00C24D57"/>
    <w:rsid w:val="00C2767A"/>
    <w:rsid w:val="00C31C08"/>
    <w:rsid w:val="00C354D0"/>
    <w:rsid w:val="00C360D2"/>
    <w:rsid w:val="00C45485"/>
    <w:rsid w:val="00C4578E"/>
    <w:rsid w:val="00C46439"/>
    <w:rsid w:val="00C47108"/>
    <w:rsid w:val="00C47DEF"/>
    <w:rsid w:val="00C50490"/>
    <w:rsid w:val="00C51A4A"/>
    <w:rsid w:val="00C52A90"/>
    <w:rsid w:val="00C53492"/>
    <w:rsid w:val="00C56182"/>
    <w:rsid w:val="00C56345"/>
    <w:rsid w:val="00C56F73"/>
    <w:rsid w:val="00C633A1"/>
    <w:rsid w:val="00C63ADB"/>
    <w:rsid w:val="00C6454C"/>
    <w:rsid w:val="00C64EEF"/>
    <w:rsid w:val="00C67AC4"/>
    <w:rsid w:val="00C70FCA"/>
    <w:rsid w:val="00C73FFA"/>
    <w:rsid w:val="00C743D9"/>
    <w:rsid w:val="00C767D4"/>
    <w:rsid w:val="00C81BD1"/>
    <w:rsid w:val="00C827A3"/>
    <w:rsid w:val="00C83827"/>
    <w:rsid w:val="00C83A9D"/>
    <w:rsid w:val="00C86637"/>
    <w:rsid w:val="00C93574"/>
    <w:rsid w:val="00C9592A"/>
    <w:rsid w:val="00C96813"/>
    <w:rsid w:val="00C96FE6"/>
    <w:rsid w:val="00CA626E"/>
    <w:rsid w:val="00CA75B9"/>
    <w:rsid w:val="00CB1AB5"/>
    <w:rsid w:val="00CB5904"/>
    <w:rsid w:val="00CB5AB7"/>
    <w:rsid w:val="00CB5E94"/>
    <w:rsid w:val="00CB69EE"/>
    <w:rsid w:val="00CB7991"/>
    <w:rsid w:val="00CC02DE"/>
    <w:rsid w:val="00CC14E2"/>
    <w:rsid w:val="00CC20B4"/>
    <w:rsid w:val="00CC2978"/>
    <w:rsid w:val="00CC3126"/>
    <w:rsid w:val="00CC320A"/>
    <w:rsid w:val="00CC3514"/>
    <w:rsid w:val="00CC4452"/>
    <w:rsid w:val="00CC56B2"/>
    <w:rsid w:val="00CC6022"/>
    <w:rsid w:val="00CC666D"/>
    <w:rsid w:val="00CC6AD1"/>
    <w:rsid w:val="00CD080D"/>
    <w:rsid w:val="00CD1678"/>
    <w:rsid w:val="00CD4429"/>
    <w:rsid w:val="00CD60C1"/>
    <w:rsid w:val="00CD6498"/>
    <w:rsid w:val="00CD7076"/>
    <w:rsid w:val="00CD79F2"/>
    <w:rsid w:val="00CE15FD"/>
    <w:rsid w:val="00CE16F4"/>
    <w:rsid w:val="00CE414C"/>
    <w:rsid w:val="00CE4448"/>
    <w:rsid w:val="00CE4B29"/>
    <w:rsid w:val="00CE718D"/>
    <w:rsid w:val="00CE7DBA"/>
    <w:rsid w:val="00CF02F5"/>
    <w:rsid w:val="00CF1622"/>
    <w:rsid w:val="00CF23A1"/>
    <w:rsid w:val="00CF381B"/>
    <w:rsid w:val="00CF4454"/>
    <w:rsid w:val="00CF471F"/>
    <w:rsid w:val="00CF5562"/>
    <w:rsid w:val="00CF62C8"/>
    <w:rsid w:val="00CF647B"/>
    <w:rsid w:val="00CF67C4"/>
    <w:rsid w:val="00CF7868"/>
    <w:rsid w:val="00CF789F"/>
    <w:rsid w:val="00CF7A24"/>
    <w:rsid w:val="00D00668"/>
    <w:rsid w:val="00D01184"/>
    <w:rsid w:val="00D013CA"/>
    <w:rsid w:val="00D01ED8"/>
    <w:rsid w:val="00D023B7"/>
    <w:rsid w:val="00D0499C"/>
    <w:rsid w:val="00D0502C"/>
    <w:rsid w:val="00D0581F"/>
    <w:rsid w:val="00D1047F"/>
    <w:rsid w:val="00D12491"/>
    <w:rsid w:val="00D12610"/>
    <w:rsid w:val="00D134AF"/>
    <w:rsid w:val="00D135BB"/>
    <w:rsid w:val="00D1375B"/>
    <w:rsid w:val="00D13A32"/>
    <w:rsid w:val="00D14CE9"/>
    <w:rsid w:val="00D220C0"/>
    <w:rsid w:val="00D226E4"/>
    <w:rsid w:val="00D231C5"/>
    <w:rsid w:val="00D244BC"/>
    <w:rsid w:val="00D24736"/>
    <w:rsid w:val="00D25DD2"/>
    <w:rsid w:val="00D31BD1"/>
    <w:rsid w:val="00D335F0"/>
    <w:rsid w:val="00D33816"/>
    <w:rsid w:val="00D34DD8"/>
    <w:rsid w:val="00D35017"/>
    <w:rsid w:val="00D36B93"/>
    <w:rsid w:val="00D414B2"/>
    <w:rsid w:val="00D44C94"/>
    <w:rsid w:val="00D5193D"/>
    <w:rsid w:val="00D5311F"/>
    <w:rsid w:val="00D618CD"/>
    <w:rsid w:val="00D624D9"/>
    <w:rsid w:val="00D630CF"/>
    <w:rsid w:val="00D650E0"/>
    <w:rsid w:val="00D65EC9"/>
    <w:rsid w:val="00D749F2"/>
    <w:rsid w:val="00D74F9D"/>
    <w:rsid w:val="00D75C04"/>
    <w:rsid w:val="00D76477"/>
    <w:rsid w:val="00D771BE"/>
    <w:rsid w:val="00D80B98"/>
    <w:rsid w:val="00D82D42"/>
    <w:rsid w:val="00D86A5D"/>
    <w:rsid w:val="00D8756D"/>
    <w:rsid w:val="00D87C1E"/>
    <w:rsid w:val="00D87E2E"/>
    <w:rsid w:val="00D90249"/>
    <w:rsid w:val="00D90995"/>
    <w:rsid w:val="00D926DB"/>
    <w:rsid w:val="00D94F73"/>
    <w:rsid w:val="00D95A83"/>
    <w:rsid w:val="00D971E6"/>
    <w:rsid w:val="00DA0C88"/>
    <w:rsid w:val="00DA0ED3"/>
    <w:rsid w:val="00DA1875"/>
    <w:rsid w:val="00DA6E6A"/>
    <w:rsid w:val="00DA6EB0"/>
    <w:rsid w:val="00DB1C3A"/>
    <w:rsid w:val="00DB225F"/>
    <w:rsid w:val="00DB467A"/>
    <w:rsid w:val="00DB5525"/>
    <w:rsid w:val="00DC0C76"/>
    <w:rsid w:val="00DC289C"/>
    <w:rsid w:val="00DC63E6"/>
    <w:rsid w:val="00DD008E"/>
    <w:rsid w:val="00DD0392"/>
    <w:rsid w:val="00DD0FBD"/>
    <w:rsid w:val="00DD1BD3"/>
    <w:rsid w:val="00DD21FB"/>
    <w:rsid w:val="00DD38CE"/>
    <w:rsid w:val="00DD5E95"/>
    <w:rsid w:val="00DE6EF9"/>
    <w:rsid w:val="00DE7121"/>
    <w:rsid w:val="00DF18EA"/>
    <w:rsid w:val="00DF2901"/>
    <w:rsid w:val="00DF44F9"/>
    <w:rsid w:val="00DF5EDB"/>
    <w:rsid w:val="00DF601E"/>
    <w:rsid w:val="00DF65F7"/>
    <w:rsid w:val="00DF763F"/>
    <w:rsid w:val="00E00064"/>
    <w:rsid w:val="00E02300"/>
    <w:rsid w:val="00E03224"/>
    <w:rsid w:val="00E05034"/>
    <w:rsid w:val="00E061C5"/>
    <w:rsid w:val="00E074E3"/>
    <w:rsid w:val="00E103F2"/>
    <w:rsid w:val="00E124D4"/>
    <w:rsid w:val="00E12F6C"/>
    <w:rsid w:val="00E14892"/>
    <w:rsid w:val="00E15168"/>
    <w:rsid w:val="00E15FE7"/>
    <w:rsid w:val="00E2002C"/>
    <w:rsid w:val="00E21912"/>
    <w:rsid w:val="00E21BA8"/>
    <w:rsid w:val="00E21F84"/>
    <w:rsid w:val="00E23ADE"/>
    <w:rsid w:val="00E23F43"/>
    <w:rsid w:val="00E24E96"/>
    <w:rsid w:val="00E27F98"/>
    <w:rsid w:val="00E30435"/>
    <w:rsid w:val="00E32EE6"/>
    <w:rsid w:val="00E340B0"/>
    <w:rsid w:val="00E34A64"/>
    <w:rsid w:val="00E34CE8"/>
    <w:rsid w:val="00E428EE"/>
    <w:rsid w:val="00E4418C"/>
    <w:rsid w:val="00E468E3"/>
    <w:rsid w:val="00E507BE"/>
    <w:rsid w:val="00E514FB"/>
    <w:rsid w:val="00E54543"/>
    <w:rsid w:val="00E54EC5"/>
    <w:rsid w:val="00E553C7"/>
    <w:rsid w:val="00E554A7"/>
    <w:rsid w:val="00E56B71"/>
    <w:rsid w:val="00E56C84"/>
    <w:rsid w:val="00E56DD0"/>
    <w:rsid w:val="00E57263"/>
    <w:rsid w:val="00E6057C"/>
    <w:rsid w:val="00E61B03"/>
    <w:rsid w:val="00E74350"/>
    <w:rsid w:val="00E74FA0"/>
    <w:rsid w:val="00E75A4B"/>
    <w:rsid w:val="00E815F5"/>
    <w:rsid w:val="00E85659"/>
    <w:rsid w:val="00E9117F"/>
    <w:rsid w:val="00E9234E"/>
    <w:rsid w:val="00E9412D"/>
    <w:rsid w:val="00E95D15"/>
    <w:rsid w:val="00E965D6"/>
    <w:rsid w:val="00E96B2E"/>
    <w:rsid w:val="00EA2C1D"/>
    <w:rsid w:val="00EA43F1"/>
    <w:rsid w:val="00EA5573"/>
    <w:rsid w:val="00EA59EE"/>
    <w:rsid w:val="00EA7E40"/>
    <w:rsid w:val="00EB02F8"/>
    <w:rsid w:val="00EB10BA"/>
    <w:rsid w:val="00EB1E48"/>
    <w:rsid w:val="00EB1F5D"/>
    <w:rsid w:val="00EB2E5D"/>
    <w:rsid w:val="00EB35B2"/>
    <w:rsid w:val="00EB4192"/>
    <w:rsid w:val="00EB4D94"/>
    <w:rsid w:val="00EB7B02"/>
    <w:rsid w:val="00EC0A9C"/>
    <w:rsid w:val="00EC135D"/>
    <w:rsid w:val="00EC2002"/>
    <w:rsid w:val="00EC2674"/>
    <w:rsid w:val="00EC27FF"/>
    <w:rsid w:val="00EC4CC0"/>
    <w:rsid w:val="00EC5249"/>
    <w:rsid w:val="00EC5D5F"/>
    <w:rsid w:val="00ED0BAD"/>
    <w:rsid w:val="00ED0E2F"/>
    <w:rsid w:val="00ED1D8F"/>
    <w:rsid w:val="00ED1E3F"/>
    <w:rsid w:val="00ED230A"/>
    <w:rsid w:val="00ED2587"/>
    <w:rsid w:val="00ED3442"/>
    <w:rsid w:val="00ED3790"/>
    <w:rsid w:val="00ED4AC2"/>
    <w:rsid w:val="00ED53A3"/>
    <w:rsid w:val="00ED598A"/>
    <w:rsid w:val="00ED67D8"/>
    <w:rsid w:val="00ED6B81"/>
    <w:rsid w:val="00ED7192"/>
    <w:rsid w:val="00EE08BF"/>
    <w:rsid w:val="00EE23E0"/>
    <w:rsid w:val="00EF0059"/>
    <w:rsid w:val="00EF0486"/>
    <w:rsid w:val="00EF1078"/>
    <w:rsid w:val="00EF1C91"/>
    <w:rsid w:val="00EF387B"/>
    <w:rsid w:val="00EF4C10"/>
    <w:rsid w:val="00F0012F"/>
    <w:rsid w:val="00F00F91"/>
    <w:rsid w:val="00F014E9"/>
    <w:rsid w:val="00F026B9"/>
    <w:rsid w:val="00F02FFF"/>
    <w:rsid w:val="00F05EF8"/>
    <w:rsid w:val="00F07653"/>
    <w:rsid w:val="00F113B5"/>
    <w:rsid w:val="00F1411F"/>
    <w:rsid w:val="00F14686"/>
    <w:rsid w:val="00F14FBA"/>
    <w:rsid w:val="00F200D8"/>
    <w:rsid w:val="00F257FA"/>
    <w:rsid w:val="00F269F9"/>
    <w:rsid w:val="00F32D5D"/>
    <w:rsid w:val="00F37D25"/>
    <w:rsid w:val="00F4568E"/>
    <w:rsid w:val="00F45A56"/>
    <w:rsid w:val="00F475A3"/>
    <w:rsid w:val="00F47F2C"/>
    <w:rsid w:val="00F5264F"/>
    <w:rsid w:val="00F53802"/>
    <w:rsid w:val="00F54501"/>
    <w:rsid w:val="00F54807"/>
    <w:rsid w:val="00F56C43"/>
    <w:rsid w:val="00F56D23"/>
    <w:rsid w:val="00F56D42"/>
    <w:rsid w:val="00F574BA"/>
    <w:rsid w:val="00F57A60"/>
    <w:rsid w:val="00F63260"/>
    <w:rsid w:val="00F63B25"/>
    <w:rsid w:val="00F67C57"/>
    <w:rsid w:val="00F67D24"/>
    <w:rsid w:val="00F70C17"/>
    <w:rsid w:val="00F71561"/>
    <w:rsid w:val="00F71C97"/>
    <w:rsid w:val="00F7243F"/>
    <w:rsid w:val="00F72E2E"/>
    <w:rsid w:val="00F75962"/>
    <w:rsid w:val="00F76133"/>
    <w:rsid w:val="00F77611"/>
    <w:rsid w:val="00F82184"/>
    <w:rsid w:val="00F83429"/>
    <w:rsid w:val="00F84FE6"/>
    <w:rsid w:val="00F85319"/>
    <w:rsid w:val="00F865AE"/>
    <w:rsid w:val="00F921C0"/>
    <w:rsid w:val="00F935A4"/>
    <w:rsid w:val="00F945E8"/>
    <w:rsid w:val="00F94A14"/>
    <w:rsid w:val="00F9595C"/>
    <w:rsid w:val="00F968CA"/>
    <w:rsid w:val="00F96EDC"/>
    <w:rsid w:val="00FA0978"/>
    <w:rsid w:val="00FA0F61"/>
    <w:rsid w:val="00FA2140"/>
    <w:rsid w:val="00FA4378"/>
    <w:rsid w:val="00FA5856"/>
    <w:rsid w:val="00FA7471"/>
    <w:rsid w:val="00FB178D"/>
    <w:rsid w:val="00FB2BE3"/>
    <w:rsid w:val="00FB4464"/>
    <w:rsid w:val="00FB499F"/>
    <w:rsid w:val="00FB6559"/>
    <w:rsid w:val="00FB7B10"/>
    <w:rsid w:val="00FB7CF5"/>
    <w:rsid w:val="00FC253B"/>
    <w:rsid w:val="00FC2D71"/>
    <w:rsid w:val="00FC2FD4"/>
    <w:rsid w:val="00FC6BED"/>
    <w:rsid w:val="00FD1479"/>
    <w:rsid w:val="00FD167D"/>
    <w:rsid w:val="00FD1B87"/>
    <w:rsid w:val="00FD488B"/>
    <w:rsid w:val="00FD5D83"/>
    <w:rsid w:val="00FD66C3"/>
    <w:rsid w:val="00FD73C6"/>
    <w:rsid w:val="00FE4CBE"/>
    <w:rsid w:val="00FE67F9"/>
    <w:rsid w:val="00FE7E16"/>
    <w:rsid w:val="00FF1BCC"/>
    <w:rsid w:val="00FF2C3B"/>
    <w:rsid w:val="00FF5780"/>
    <w:rsid w:val="00FF5FB6"/>
    <w:rsid w:val="00FF6F87"/>
    <w:rsid w:val="00FF73E8"/>
    <w:rsid w:val="00FF77D2"/>
    <w:rsid w:val="01A779B0"/>
    <w:rsid w:val="038E7BC6"/>
    <w:rsid w:val="03BEF45E"/>
    <w:rsid w:val="0477CE40"/>
    <w:rsid w:val="05437F70"/>
    <w:rsid w:val="0604CA16"/>
    <w:rsid w:val="0608BFD7"/>
    <w:rsid w:val="0747BA62"/>
    <w:rsid w:val="087ABD4A"/>
    <w:rsid w:val="08DD297F"/>
    <w:rsid w:val="08F2C50C"/>
    <w:rsid w:val="098ABB2C"/>
    <w:rsid w:val="09EEBBF1"/>
    <w:rsid w:val="0A722CE4"/>
    <w:rsid w:val="0AF92977"/>
    <w:rsid w:val="0B07BE2E"/>
    <w:rsid w:val="0CAC21EC"/>
    <w:rsid w:val="0DAE1BFF"/>
    <w:rsid w:val="0E1C034E"/>
    <w:rsid w:val="0EA49453"/>
    <w:rsid w:val="0F9A2B15"/>
    <w:rsid w:val="11D1E9AB"/>
    <w:rsid w:val="11D95C29"/>
    <w:rsid w:val="127B86C7"/>
    <w:rsid w:val="16171A5F"/>
    <w:rsid w:val="17AFEC9D"/>
    <w:rsid w:val="1903BDD7"/>
    <w:rsid w:val="1961AD93"/>
    <w:rsid w:val="19C092EC"/>
    <w:rsid w:val="1A07D135"/>
    <w:rsid w:val="1A141F20"/>
    <w:rsid w:val="1C855F25"/>
    <w:rsid w:val="1DD572C9"/>
    <w:rsid w:val="1DE30CFC"/>
    <w:rsid w:val="1E9307F0"/>
    <w:rsid w:val="1EAE7D7A"/>
    <w:rsid w:val="1FA5D747"/>
    <w:rsid w:val="2048D494"/>
    <w:rsid w:val="218EB165"/>
    <w:rsid w:val="234E4CD5"/>
    <w:rsid w:val="23807556"/>
    <w:rsid w:val="23E032D1"/>
    <w:rsid w:val="23FF36A9"/>
    <w:rsid w:val="243C092D"/>
    <w:rsid w:val="2507C3CA"/>
    <w:rsid w:val="271FF2EF"/>
    <w:rsid w:val="272B654E"/>
    <w:rsid w:val="282DF7E5"/>
    <w:rsid w:val="28BBC350"/>
    <w:rsid w:val="2AFF0065"/>
    <w:rsid w:val="2B5A268A"/>
    <w:rsid w:val="2C9CA070"/>
    <w:rsid w:val="2CE7B078"/>
    <w:rsid w:val="2FCB2F8B"/>
    <w:rsid w:val="300701BC"/>
    <w:rsid w:val="30EE113B"/>
    <w:rsid w:val="31C44AB9"/>
    <w:rsid w:val="33B499CE"/>
    <w:rsid w:val="3592E437"/>
    <w:rsid w:val="3596AEF0"/>
    <w:rsid w:val="35C236A2"/>
    <w:rsid w:val="37981056"/>
    <w:rsid w:val="39A46254"/>
    <w:rsid w:val="39BA2BF6"/>
    <w:rsid w:val="3AD883C1"/>
    <w:rsid w:val="3B4032B5"/>
    <w:rsid w:val="3B57ABB0"/>
    <w:rsid w:val="3D30779B"/>
    <w:rsid w:val="3D373F18"/>
    <w:rsid w:val="3D65A6B6"/>
    <w:rsid w:val="3DB36BE6"/>
    <w:rsid w:val="403518EA"/>
    <w:rsid w:val="403B11B4"/>
    <w:rsid w:val="4049E50E"/>
    <w:rsid w:val="40EB0CA8"/>
    <w:rsid w:val="413A0FF2"/>
    <w:rsid w:val="41FFB1B2"/>
    <w:rsid w:val="4321D2ED"/>
    <w:rsid w:val="44D7017E"/>
    <w:rsid w:val="452B8680"/>
    <w:rsid w:val="45BE7DCB"/>
    <w:rsid w:val="46AB0D40"/>
    <w:rsid w:val="47AC3C88"/>
    <w:rsid w:val="47EA082B"/>
    <w:rsid w:val="4815C539"/>
    <w:rsid w:val="484506B7"/>
    <w:rsid w:val="48D28A9E"/>
    <w:rsid w:val="4AA17D01"/>
    <w:rsid w:val="4C85D423"/>
    <w:rsid w:val="4D796C65"/>
    <w:rsid w:val="4DAC3C36"/>
    <w:rsid w:val="4E760564"/>
    <w:rsid w:val="51656858"/>
    <w:rsid w:val="5290A14C"/>
    <w:rsid w:val="53656EDA"/>
    <w:rsid w:val="53717546"/>
    <w:rsid w:val="5421ED5B"/>
    <w:rsid w:val="54451E31"/>
    <w:rsid w:val="54517045"/>
    <w:rsid w:val="555E199D"/>
    <w:rsid w:val="5654D1CE"/>
    <w:rsid w:val="56AB9CB3"/>
    <w:rsid w:val="57C3E135"/>
    <w:rsid w:val="581585A5"/>
    <w:rsid w:val="58239EB0"/>
    <w:rsid w:val="58E8AA6C"/>
    <w:rsid w:val="59874FD9"/>
    <w:rsid w:val="59CD0032"/>
    <w:rsid w:val="59FEA816"/>
    <w:rsid w:val="5A89E270"/>
    <w:rsid w:val="5BBE1010"/>
    <w:rsid w:val="5C790BF4"/>
    <w:rsid w:val="613474F7"/>
    <w:rsid w:val="618CEF10"/>
    <w:rsid w:val="62F86A08"/>
    <w:rsid w:val="683594AD"/>
    <w:rsid w:val="69CD9A21"/>
    <w:rsid w:val="6A5DCC5F"/>
    <w:rsid w:val="6ADE8121"/>
    <w:rsid w:val="6B253E78"/>
    <w:rsid w:val="6BB59076"/>
    <w:rsid w:val="6CB54158"/>
    <w:rsid w:val="6D3C8EFF"/>
    <w:rsid w:val="6D774C96"/>
    <w:rsid w:val="6DCB7410"/>
    <w:rsid w:val="6DFAC4DA"/>
    <w:rsid w:val="6E9BE9F1"/>
    <w:rsid w:val="6F49470F"/>
    <w:rsid w:val="70653340"/>
    <w:rsid w:val="7140B6AE"/>
    <w:rsid w:val="73C9D750"/>
    <w:rsid w:val="744C2998"/>
    <w:rsid w:val="74CF7AC2"/>
    <w:rsid w:val="767E2D13"/>
    <w:rsid w:val="7A0DA57F"/>
    <w:rsid w:val="7AFC9271"/>
    <w:rsid w:val="7B32FAE5"/>
    <w:rsid w:val="7D1F0C26"/>
    <w:rsid w:val="7DA5BD61"/>
    <w:rsid w:val="7EA7BB3B"/>
    <w:rsid w:val="7EADECF1"/>
    <w:rsid w:val="7F123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DFE0"/>
  <w15:chartTrackingRefBased/>
  <w15:docId w15:val="{E127616E-E809-411C-A647-B15DE3B1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29"/>
    <w:pPr>
      <w:spacing w:after="120" w:line="276" w:lineRule="auto"/>
    </w:pPr>
    <w:rPr>
      <w:rFonts w:ascii="Arial" w:hAnsi="Arial"/>
      <w:sz w:val="24"/>
    </w:rPr>
  </w:style>
  <w:style w:type="paragraph" w:styleId="Heading1">
    <w:name w:val="heading 1"/>
    <w:basedOn w:val="Normal"/>
    <w:next w:val="Normal"/>
    <w:link w:val="Heading1Char"/>
    <w:uiPriority w:val="9"/>
    <w:qFormat/>
    <w:rsid w:val="0015613E"/>
    <w:pPr>
      <w:keepNext/>
      <w:keepLines/>
      <w:spacing w:before="240" w:after="0" w:line="36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4D500A"/>
    <w:pPr>
      <w:keepNext/>
      <w:keepLines/>
      <w:spacing w:before="200"/>
      <w:outlineLvl w:val="1"/>
    </w:pPr>
    <w:rPr>
      <w:rFonts w:eastAsiaTheme="majorEastAsia" w:cs="Arial"/>
      <w:b/>
      <w:sz w:val="32"/>
      <w:szCs w:val="32"/>
    </w:rPr>
  </w:style>
  <w:style w:type="paragraph" w:styleId="Heading3">
    <w:name w:val="heading 3"/>
    <w:basedOn w:val="Normal"/>
    <w:next w:val="Normal"/>
    <w:link w:val="Heading3Char"/>
    <w:uiPriority w:val="9"/>
    <w:unhideWhenUsed/>
    <w:qFormat/>
    <w:rsid w:val="009A2C7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A2C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A2C7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81A5E"/>
    <w:pPr>
      <w:keepNext/>
      <w:keepLines/>
      <w:spacing w:before="200" w:after="0" w:line="360" w:lineRule="auto"/>
      <w:outlineLvl w:val="5"/>
    </w:pPr>
    <w:rPr>
      <w:rFonts w:asciiTheme="majorHAnsi" w:eastAsiaTheme="majorEastAsia" w:hAnsiTheme="majorHAnsi" w:cstheme="majorBidi"/>
      <w:i/>
      <w:iCs/>
      <w:color w:val="1F4D78" w:themeColor="accent1" w:themeShade="7F"/>
      <w:sz w:val="22"/>
      <w:lang w:eastAsia="en-GB"/>
    </w:rPr>
  </w:style>
  <w:style w:type="paragraph" w:styleId="Heading7">
    <w:name w:val="heading 7"/>
    <w:basedOn w:val="Normal"/>
    <w:next w:val="Normal"/>
    <w:link w:val="Heading7Char"/>
    <w:uiPriority w:val="9"/>
    <w:semiHidden/>
    <w:unhideWhenUsed/>
    <w:qFormat/>
    <w:rsid w:val="00581A5E"/>
    <w:pPr>
      <w:keepNext/>
      <w:keepLines/>
      <w:spacing w:before="200" w:after="0" w:line="360" w:lineRule="auto"/>
      <w:outlineLvl w:val="6"/>
    </w:pPr>
    <w:rPr>
      <w:rFonts w:asciiTheme="majorHAnsi" w:eastAsiaTheme="majorEastAsia" w:hAnsiTheme="majorHAnsi" w:cstheme="majorBidi"/>
      <w:i/>
      <w:iCs/>
      <w:color w:val="404040" w:themeColor="text1" w:themeTint="BF"/>
      <w:sz w:val="22"/>
      <w:lang w:eastAsia="en-GB"/>
    </w:rPr>
  </w:style>
  <w:style w:type="paragraph" w:styleId="Heading8">
    <w:name w:val="heading 8"/>
    <w:basedOn w:val="Normal"/>
    <w:next w:val="Normal"/>
    <w:link w:val="Heading8Char"/>
    <w:uiPriority w:val="9"/>
    <w:semiHidden/>
    <w:unhideWhenUsed/>
    <w:qFormat/>
    <w:rsid w:val="00581A5E"/>
    <w:pPr>
      <w:keepNext/>
      <w:keepLines/>
      <w:spacing w:before="200" w:after="0" w:line="360" w:lineRule="auto"/>
      <w:outlineLvl w:val="7"/>
    </w:pPr>
    <w:rPr>
      <w:rFonts w:asciiTheme="majorHAnsi" w:eastAsiaTheme="majorEastAsia" w:hAnsiTheme="majorHAnsi" w:cstheme="majorBidi"/>
      <w:color w:val="5B9BD5" w:themeColor="accent1"/>
      <w:sz w:val="20"/>
      <w:szCs w:val="20"/>
      <w:lang w:eastAsia="en-GB"/>
    </w:rPr>
  </w:style>
  <w:style w:type="paragraph" w:styleId="Heading9">
    <w:name w:val="heading 9"/>
    <w:basedOn w:val="Normal"/>
    <w:next w:val="Normal"/>
    <w:link w:val="Heading9Char"/>
    <w:uiPriority w:val="9"/>
    <w:semiHidden/>
    <w:unhideWhenUsed/>
    <w:qFormat/>
    <w:rsid w:val="00581A5E"/>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13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D500A"/>
    <w:rPr>
      <w:rFonts w:ascii="Arial" w:eastAsiaTheme="majorEastAsia" w:hAnsi="Arial" w:cs="Arial"/>
      <w:b/>
      <w:sz w:val="32"/>
      <w:szCs w:val="32"/>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CD4429"/>
    <w:pPr>
      <w:ind w:left="720"/>
      <w:contextualSpacing/>
    </w:pPr>
  </w:style>
  <w:style w:type="paragraph" w:styleId="FootnoteText">
    <w:name w:val="footnote text"/>
    <w:basedOn w:val="Normal"/>
    <w:link w:val="FootnoteTextChar"/>
    <w:uiPriority w:val="99"/>
    <w:unhideWhenUsed/>
    <w:rsid w:val="00543D23"/>
    <w:pPr>
      <w:adjustRightInd w:val="0"/>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543D23"/>
    <w:rPr>
      <w:rFonts w:ascii="Arial" w:hAnsi="Arial"/>
      <w:color w:val="000000" w:themeColor="text1"/>
      <w:sz w:val="20"/>
      <w:szCs w:val="20"/>
    </w:rPr>
  </w:style>
  <w:style w:type="paragraph" w:styleId="EndnoteText">
    <w:name w:val="endnote text"/>
    <w:basedOn w:val="Normal"/>
    <w:link w:val="EndnoteTextChar"/>
    <w:uiPriority w:val="99"/>
    <w:unhideWhenUsed/>
    <w:rsid w:val="00CD4429"/>
    <w:pPr>
      <w:spacing w:after="0" w:line="240" w:lineRule="auto"/>
    </w:pPr>
    <w:rPr>
      <w:sz w:val="20"/>
      <w:szCs w:val="20"/>
    </w:rPr>
  </w:style>
  <w:style w:type="character" w:customStyle="1" w:styleId="EndnoteTextChar">
    <w:name w:val="Endnote Text Char"/>
    <w:basedOn w:val="DefaultParagraphFont"/>
    <w:link w:val="EndnoteText"/>
    <w:uiPriority w:val="99"/>
    <w:rsid w:val="00CD4429"/>
    <w:rPr>
      <w:rFonts w:ascii="Arial" w:hAnsi="Arial"/>
      <w:sz w:val="20"/>
      <w:szCs w:val="20"/>
    </w:rPr>
  </w:style>
  <w:style w:type="character" w:styleId="EndnoteReference">
    <w:name w:val="endnote reference"/>
    <w:basedOn w:val="DefaultParagraphFont"/>
    <w:uiPriority w:val="99"/>
    <w:semiHidden/>
    <w:unhideWhenUsed/>
    <w:rsid w:val="00CD4429"/>
    <w:rPr>
      <w:vertAlign w:val="superscript"/>
    </w:rPr>
  </w:style>
  <w:style w:type="paragraph" w:styleId="Header">
    <w:name w:val="header"/>
    <w:basedOn w:val="Normal"/>
    <w:link w:val="HeaderChar"/>
    <w:uiPriority w:val="99"/>
    <w:unhideWhenUsed/>
    <w:rsid w:val="00CD4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429"/>
    <w:rPr>
      <w:rFonts w:ascii="Arial" w:hAnsi="Arial"/>
      <w:sz w:val="24"/>
    </w:rPr>
  </w:style>
  <w:style w:type="paragraph" w:styleId="Footer">
    <w:name w:val="footer"/>
    <w:basedOn w:val="Normal"/>
    <w:link w:val="FooterChar"/>
    <w:uiPriority w:val="99"/>
    <w:unhideWhenUsed/>
    <w:rsid w:val="00071E5A"/>
    <w:pPr>
      <w:tabs>
        <w:tab w:val="center" w:pos="4513"/>
        <w:tab w:val="right" w:pos="9026"/>
      </w:tabs>
      <w:spacing w:after="0" w:line="240" w:lineRule="auto"/>
    </w:pPr>
    <w:rPr>
      <w:color w:val="00B0F0"/>
    </w:rPr>
  </w:style>
  <w:style w:type="character" w:customStyle="1" w:styleId="FooterChar">
    <w:name w:val="Footer Char"/>
    <w:basedOn w:val="DefaultParagraphFont"/>
    <w:link w:val="Footer"/>
    <w:uiPriority w:val="99"/>
    <w:rsid w:val="00071E5A"/>
    <w:rPr>
      <w:rFonts w:ascii="Arial" w:hAnsi="Arial"/>
      <w:color w:val="00B0F0"/>
      <w:sz w:val="24"/>
    </w:rPr>
  </w:style>
  <w:style w:type="character" w:customStyle="1" w:styleId="st">
    <w:name w:val="st"/>
    <w:basedOn w:val="DefaultParagraphFont"/>
    <w:rsid w:val="00CF647B"/>
  </w:style>
  <w:style w:type="character" w:customStyle="1" w:styleId="lrzxr">
    <w:name w:val="lrzxr"/>
    <w:basedOn w:val="DefaultParagraphFont"/>
    <w:rsid w:val="000D091F"/>
  </w:style>
  <w:style w:type="paragraph" w:styleId="BalloonText">
    <w:name w:val="Balloon Text"/>
    <w:basedOn w:val="Normal"/>
    <w:link w:val="BalloonTextChar"/>
    <w:uiPriority w:val="99"/>
    <w:semiHidden/>
    <w:unhideWhenUsed/>
    <w:rsid w:val="0083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88B"/>
    <w:rPr>
      <w:rFonts w:ascii="Segoe UI" w:hAnsi="Segoe UI" w:cs="Segoe UI"/>
      <w:sz w:val="18"/>
      <w:szCs w:val="18"/>
    </w:rPr>
  </w:style>
  <w:style w:type="character" w:styleId="CommentReference">
    <w:name w:val="annotation reference"/>
    <w:basedOn w:val="DefaultParagraphFont"/>
    <w:uiPriority w:val="99"/>
    <w:semiHidden/>
    <w:unhideWhenUsed/>
    <w:rsid w:val="0083388B"/>
    <w:rPr>
      <w:sz w:val="16"/>
      <w:szCs w:val="16"/>
    </w:rPr>
  </w:style>
  <w:style w:type="paragraph" w:styleId="CommentText">
    <w:name w:val="annotation text"/>
    <w:basedOn w:val="Normal"/>
    <w:link w:val="CommentTextChar"/>
    <w:uiPriority w:val="99"/>
    <w:unhideWhenUsed/>
    <w:rsid w:val="0083388B"/>
    <w:pPr>
      <w:spacing w:line="240" w:lineRule="auto"/>
    </w:pPr>
    <w:rPr>
      <w:sz w:val="20"/>
      <w:szCs w:val="20"/>
    </w:rPr>
  </w:style>
  <w:style w:type="character" w:customStyle="1" w:styleId="CommentTextChar">
    <w:name w:val="Comment Text Char"/>
    <w:basedOn w:val="DefaultParagraphFont"/>
    <w:link w:val="CommentText"/>
    <w:uiPriority w:val="99"/>
    <w:rsid w:val="008338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388B"/>
    <w:rPr>
      <w:b/>
      <w:bCs/>
    </w:rPr>
  </w:style>
  <w:style w:type="character" w:customStyle="1" w:styleId="CommentSubjectChar">
    <w:name w:val="Comment Subject Char"/>
    <w:basedOn w:val="CommentTextChar"/>
    <w:link w:val="CommentSubject"/>
    <w:uiPriority w:val="99"/>
    <w:semiHidden/>
    <w:rsid w:val="0083388B"/>
    <w:rPr>
      <w:rFonts w:ascii="Arial" w:hAnsi="Arial"/>
      <w:b/>
      <w:bCs/>
      <w:sz w:val="20"/>
      <w:szCs w:val="20"/>
    </w:rPr>
  </w:style>
  <w:style w:type="character" w:styleId="Emphasis">
    <w:name w:val="Emphasis"/>
    <w:basedOn w:val="DefaultParagraphFont"/>
    <w:uiPriority w:val="20"/>
    <w:qFormat/>
    <w:rsid w:val="00767D18"/>
    <w:rPr>
      <w:i/>
      <w:iCs/>
    </w:rPr>
  </w:style>
  <w:style w:type="character" w:styleId="Hyperlink">
    <w:name w:val="Hyperlink"/>
    <w:basedOn w:val="DefaultParagraphFont"/>
    <w:uiPriority w:val="99"/>
    <w:unhideWhenUsed/>
    <w:rsid w:val="00D244BC"/>
    <w:rPr>
      <w:color w:val="0563C1" w:themeColor="hyperlink"/>
      <w:u w:val="single"/>
    </w:rPr>
  </w:style>
  <w:style w:type="character" w:styleId="FollowedHyperlink">
    <w:name w:val="FollowedHyperlink"/>
    <w:basedOn w:val="DefaultParagraphFont"/>
    <w:uiPriority w:val="99"/>
    <w:semiHidden/>
    <w:unhideWhenUsed/>
    <w:rsid w:val="007016B2"/>
    <w:rPr>
      <w:color w:val="954F72" w:themeColor="followedHyperlink"/>
      <w:u w:val="single"/>
    </w:rPr>
  </w:style>
  <w:style w:type="paragraph" w:customStyle="1" w:styleId="xmsonormal">
    <w:name w:val="x_msonormal"/>
    <w:basedOn w:val="Normal"/>
    <w:rsid w:val="00C81BD1"/>
    <w:pPr>
      <w:spacing w:after="0" w:line="240" w:lineRule="auto"/>
    </w:pPr>
    <w:rPr>
      <w:rFonts w:ascii="Calibri" w:hAnsi="Calibri" w:cs="Calibri"/>
      <w:sz w:val="22"/>
      <w:lang w:eastAsia="en-AU"/>
    </w:rPr>
  </w:style>
  <w:style w:type="character" w:styleId="FootnoteReference">
    <w:name w:val="footnote reference"/>
    <w:basedOn w:val="DefaultParagraphFont"/>
    <w:uiPriority w:val="99"/>
    <w:semiHidden/>
    <w:unhideWhenUsed/>
    <w:rsid w:val="001818C7"/>
    <w:rPr>
      <w:vertAlign w:val="superscript"/>
    </w:rPr>
  </w:style>
  <w:style w:type="character" w:customStyle="1" w:styleId="authors">
    <w:name w:val="authors"/>
    <w:basedOn w:val="DefaultParagraphFont"/>
    <w:rsid w:val="006F5E8C"/>
  </w:style>
  <w:style w:type="character" w:customStyle="1" w:styleId="Date1">
    <w:name w:val="Date1"/>
    <w:basedOn w:val="DefaultParagraphFont"/>
    <w:rsid w:val="006F5E8C"/>
  </w:style>
  <w:style w:type="character" w:customStyle="1" w:styleId="arttitle">
    <w:name w:val="art_title"/>
    <w:basedOn w:val="DefaultParagraphFont"/>
    <w:rsid w:val="006F5E8C"/>
  </w:style>
  <w:style w:type="character" w:customStyle="1" w:styleId="serialtitle">
    <w:name w:val="serial_title"/>
    <w:basedOn w:val="DefaultParagraphFont"/>
    <w:rsid w:val="006F5E8C"/>
  </w:style>
  <w:style w:type="character" w:customStyle="1" w:styleId="volumeissue">
    <w:name w:val="volume_issue"/>
    <w:basedOn w:val="DefaultParagraphFont"/>
    <w:rsid w:val="006F5E8C"/>
  </w:style>
  <w:style w:type="character" w:customStyle="1" w:styleId="doilink">
    <w:name w:val="doi_link"/>
    <w:basedOn w:val="DefaultParagraphFont"/>
    <w:rsid w:val="006F5E8C"/>
  </w:style>
  <w:style w:type="paragraph" w:styleId="Revision">
    <w:name w:val="Revision"/>
    <w:hidden/>
    <w:uiPriority w:val="99"/>
    <w:semiHidden/>
    <w:rsid w:val="008F2712"/>
    <w:pPr>
      <w:spacing w:after="0" w:line="240" w:lineRule="auto"/>
    </w:pPr>
    <w:rPr>
      <w:rFonts w:ascii="Arial" w:hAnsi="Arial"/>
      <w:sz w:val="24"/>
    </w:rPr>
  </w:style>
  <w:style w:type="paragraph" w:styleId="TOCHeading">
    <w:name w:val="TOC Heading"/>
    <w:basedOn w:val="Heading1"/>
    <w:next w:val="Normal"/>
    <w:uiPriority w:val="39"/>
    <w:unhideWhenUsed/>
    <w:qFormat/>
    <w:rsid w:val="00CD6498"/>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6174DA"/>
    <w:pPr>
      <w:tabs>
        <w:tab w:val="right" w:leader="dot" w:pos="9016"/>
      </w:tabs>
      <w:spacing w:after="100"/>
    </w:pPr>
    <w:rPr>
      <w:b/>
      <w:noProof/>
    </w:rPr>
  </w:style>
  <w:style w:type="paragraph" w:styleId="TOC2">
    <w:name w:val="toc 2"/>
    <w:basedOn w:val="Normal"/>
    <w:next w:val="Normal"/>
    <w:autoRedefine/>
    <w:uiPriority w:val="39"/>
    <w:unhideWhenUsed/>
    <w:rsid w:val="008135CA"/>
    <w:pPr>
      <w:spacing w:after="100"/>
      <w:ind w:left="240"/>
    </w:pPr>
    <w:rPr>
      <w:lang w:val="en-US"/>
    </w:rPr>
  </w:style>
  <w:style w:type="paragraph" w:customStyle="1" w:styleId="Default">
    <w:name w:val="Default"/>
    <w:rsid w:val="006F289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6651B"/>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ite-author">
    <w:name w:val="cite-author"/>
    <w:basedOn w:val="DefaultParagraphFont"/>
    <w:rsid w:val="006174DA"/>
  </w:style>
  <w:style w:type="paragraph" w:styleId="BodyText">
    <w:name w:val="Body Text"/>
    <w:basedOn w:val="Normal"/>
    <w:link w:val="BodyTextChar"/>
    <w:semiHidden/>
    <w:unhideWhenUsed/>
    <w:qFormat/>
    <w:rsid w:val="009A2C73"/>
    <w:pPr>
      <w:spacing w:before="120" w:line="260" w:lineRule="atLeast"/>
    </w:pPr>
    <w:rPr>
      <w:rFonts w:asciiTheme="minorHAnsi" w:hAnsiTheme="minorHAnsi"/>
      <w:sz w:val="20"/>
    </w:rPr>
  </w:style>
  <w:style w:type="character" w:customStyle="1" w:styleId="BodyTextChar">
    <w:name w:val="Body Text Char"/>
    <w:basedOn w:val="DefaultParagraphFont"/>
    <w:link w:val="BodyText"/>
    <w:semiHidden/>
    <w:rsid w:val="009A2C73"/>
    <w:rPr>
      <w:sz w:val="20"/>
    </w:rPr>
  </w:style>
  <w:style w:type="paragraph" w:styleId="ListNumber0">
    <w:name w:val="List Number"/>
    <w:basedOn w:val="BodyText"/>
    <w:uiPriority w:val="2"/>
    <w:unhideWhenUsed/>
    <w:qFormat/>
    <w:rsid w:val="009A2C73"/>
    <w:pPr>
      <w:numPr>
        <w:numId w:val="1"/>
      </w:numPr>
    </w:pPr>
  </w:style>
  <w:style w:type="paragraph" w:styleId="ListNumber2">
    <w:name w:val="List Number 2"/>
    <w:basedOn w:val="ListNumber0"/>
    <w:uiPriority w:val="19"/>
    <w:semiHidden/>
    <w:unhideWhenUsed/>
    <w:rsid w:val="009A2C73"/>
    <w:pPr>
      <w:numPr>
        <w:ilvl w:val="1"/>
      </w:numPr>
    </w:pPr>
  </w:style>
  <w:style w:type="paragraph" w:styleId="ListNumber3">
    <w:name w:val="List Number 3"/>
    <w:basedOn w:val="ListNumber0"/>
    <w:uiPriority w:val="19"/>
    <w:semiHidden/>
    <w:unhideWhenUsed/>
    <w:rsid w:val="009A2C73"/>
    <w:pPr>
      <w:numPr>
        <w:ilvl w:val="2"/>
      </w:numPr>
    </w:pPr>
  </w:style>
  <w:style w:type="paragraph" w:styleId="ListNumber4">
    <w:name w:val="List Number 4"/>
    <w:basedOn w:val="ListNumber0"/>
    <w:uiPriority w:val="19"/>
    <w:semiHidden/>
    <w:unhideWhenUsed/>
    <w:rsid w:val="009A2C73"/>
    <w:pPr>
      <w:numPr>
        <w:ilvl w:val="3"/>
      </w:numPr>
    </w:pPr>
  </w:style>
  <w:style w:type="paragraph" w:styleId="ListNumber5">
    <w:name w:val="List Number 5"/>
    <w:basedOn w:val="ListNumber0"/>
    <w:uiPriority w:val="19"/>
    <w:semiHidden/>
    <w:unhideWhenUsed/>
    <w:rsid w:val="009A2C73"/>
    <w:pPr>
      <w:numPr>
        <w:ilvl w:val="4"/>
      </w:numPr>
    </w:pPr>
  </w:style>
  <w:style w:type="paragraph" w:customStyle="1" w:styleId="NbrHeading1">
    <w:name w:val="Nbr Heading 1"/>
    <w:basedOn w:val="Heading1"/>
    <w:next w:val="BodyText"/>
    <w:uiPriority w:val="1"/>
    <w:qFormat/>
    <w:rsid w:val="009A2C73"/>
    <w:pPr>
      <w:numPr>
        <w:numId w:val="2"/>
      </w:numPr>
      <w:tabs>
        <w:tab w:val="clear" w:pos="1134"/>
        <w:tab w:val="num" w:pos="360"/>
      </w:tabs>
      <w:spacing w:before="360" w:after="240" w:line="240" w:lineRule="auto"/>
      <w:ind w:left="0" w:firstLine="0"/>
    </w:pPr>
    <w:rPr>
      <w:rFonts w:asciiTheme="majorHAnsi" w:hAnsiTheme="majorHAnsi"/>
      <w:b w:val="0"/>
      <w:color w:val="5B9BD5" w:themeColor="accent1"/>
      <w:sz w:val="36"/>
    </w:rPr>
  </w:style>
  <w:style w:type="paragraph" w:customStyle="1" w:styleId="NbrHeading2">
    <w:name w:val="Nbr Heading 2"/>
    <w:basedOn w:val="Heading2"/>
    <w:next w:val="BodyText"/>
    <w:uiPriority w:val="1"/>
    <w:qFormat/>
    <w:rsid w:val="009A2C73"/>
    <w:pPr>
      <w:numPr>
        <w:ilvl w:val="1"/>
        <w:numId w:val="2"/>
      </w:numPr>
      <w:spacing w:before="240" w:line="240" w:lineRule="auto"/>
    </w:pPr>
    <w:rPr>
      <w:rFonts w:asciiTheme="majorHAnsi" w:hAnsiTheme="majorHAnsi" w:cstheme="majorBidi"/>
      <w:color w:val="5B9BD5" w:themeColor="accent1"/>
      <w:szCs w:val="26"/>
    </w:rPr>
  </w:style>
  <w:style w:type="paragraph" w:customStyle="1" w:styleId="NbrHeading3">
    <w:name w:val="Nbr Heading 3"/>
    <w:basedOn w:val="Heading3"/>
    <w:next w:val="BodyText"/>
    <w:uiPriority w:val="1"/>
    <w:qFormat/>
    <w:rsid w:val="009A2C73"/>
    <w:pPr>
      <w:numPr>
        <w:ilvl w:val="2"/>
        <w:numId w:val="2"/>
      </w:numPr>
      <w:tabs>
        <w:tab w:val="clear" w:pos="1134"/>
        <w:tab w:val="num" w:pos="360"/>
      </w:tabs>
      <w:spacing w:before="240" w:after="120" w:line="240" w:lineRule="auto"/>
      <w:ind w:left="0" w:firstLine="0"/>
    </w:pPr>
    <w:rPr>
      <w:color w:val="5B9BD5" w:themeColor="accent1"/>
    </w:rPr>
  </w:style>
  <w:style w:type="paragraph" w:customStyle="1" w:styleId="NbrHeading4">
    <w:name w:val="Nbr Heading 4"/>
    <w:basedOn w:val="Heading4"/>
    <w:next w:val="BodyText"/>
    <w:uiPriority w:val="1"/>
    <w:qFormat/>
    <w:rsid w:val="009A2C73"/>
    <w:pPr>
      <w:numPr>
        <w:ilvl w:val="3"/>
        <w:numId w:val="2"/>
      </w:numPr>
      <w:tabs>
        <w:tab w:val="clear" w:pos="1134"/>
        <w:tab w:val="num" w:pos="360"/>
      </w:tabs>
      <w:spacing w:before="240" w:after="120" w:line="240" w:lineRule="auto"/>
      <w:ind w:left="0" w:firstLine="0"/>
    </w:pPr>
    <w:rPr>
      <w:b/>
      <w:i w:val="0"/>
      <w:color w:val="5B9BD5" w:themeColor="accent1"/>
      <w:sz w:val="20"/>
    </w:rPr>
  </w:style>
  <w:style w:type="paragraph" w:customStyle="1" w:styleId="NbrHeading5">
    <w:name w:val="Nbr Heading 5"/>
    <w:basedOn w:val="Heading5"/>
    <w:next w:val="BodyText"/>
    <w:uiPriority w:val="1"/>
    <w:qFormat/>
    <w:rsid w:val="009A2C73"/>
    <w:pPr>
      <w:numPr>
        <w:ilvl w:val="4"/>
        <w:numId w:val="2"/>
      </w:numPr>
      <w:tabs>
        <w:tab w:val="clear" w:pos="1134"/>
        <w:tab w:val="num" w:pos="360"/>
      </w:tabs>
      <w:spacing w:before="240" w:after="120" w:line="240" w:lineRule="auto"/>
      <w:ind w:left="0" w:firstLine="0"/>
    </w:pPr>
    <w:rPr>
      <w:i/>
      <w:color w:val="5B9BD5" w:themeColor="accent1"/>
      <w:sz w:val="20"/>
    </w:rPr>
  </w:style>
  <w:style w:type="paragraph" w:customStyle="1" w:styleId="ListNumber6">
    <w:name w:val="List Number 6"/>
    <w:basedOn w:val="ListNumber0"/>
    <w:uiPriority w:val="19"/>
    <w:rsid w:val="009A2C73"/>
    <w:pPr>
      <w:numPr>
        <w:ilvl w:val="5"/>
      </w:numPr>
    </w:pPr>
  </w:style>
  <w:style w:type="paragraph" w:customStyle="1" w:styleId="TableNumber">
    <w:name w:val="Table Number"/>
    <w:basedOn w:val="Normal"/>
    <w:uiPriority w:val="4"/>
    <w:qFormat/>
    <w:rsid w:val="009A2C73"/>
    <w:pPr>
      <w:numPr>
        <w:numId w:val="3"/>
      </w:numPr>
      <w:spacing w:before="60" w:after="60" w:line="240" w:lineRule="auto"/>
      <w:ind w:right="113"/>
    </w:pPr>
    <w:rPr>
      <w:rFonts w:asciiTheme="minorHAnsi" w:hAnsiTheme="minorHAnsi"/>
      <w:sz w:val="20"/>
    </w:rPr>
  </w:style>
  <w:style w:type="paragraph" w:customStyle="1" w:styleId="TableNumber2">
    <w:name w:val="Table Number 2"/>
    <w:basedOn w:val="TableNumber"/>
    <w:uiPriority w:val="19"/>
    <w:rsid w:val="009A2C73"/>
    <w:pPr>
      <w:numPr>
        <w:ilvl w:val="1"/>
      </w:numPr>
    </w:pPr>
  </w:style>
  <w:style w:type="paragraph" w:customStyle="1" w:styleId="SectionTitleNumbered">
    <w:name w:val="Section Title Numbered"/>
    <w:basedOn w:val="Normal"/>
    <w:uiPriority w:val="19"/>
    <w:qFormat/>
    <w:rsid w:val="009A2C73"/>
    <w:pPr>
      <w:numPr>
        <w:numId w:val="4"/>
      </w:numPr>
      <w:spacing w:before="120" w:after="0" w:line="240" w:lineRule="auto"/>
    </w:pPr>
    <w:rPr>
      <w:rFonts w:asciiTheme="minorHAnsi" w:hAnsiTheme="minorHAnsi"/>
      <w:color w:val="5B9BD5" w:themeColor="accent1"/>
      <w:sz w:val="48"/>
    </w:rPr>
  </w:style>
  <w:style w:type="paragraph" w:customStyle="1" w:styleId="SectionNumberOnly">
    <w:name w:val="Section Number Only"/>
    <w:basedOn w:val="Normal"/>
    <w:uiPriority w:val="19"/>
    <w:qFormat/>
    <w:rsid w:val="009A2C73"/>
    <w:pPr>
      <w:numPr>
        <w:ilvl w:val="1"/>
        <w:numId w:val="4"/>
      </w:numPr>
      <w:spacing w:line="240" w:lineRule="auto"/>
    </w:pPr>
    <w:rPr>
      <w:rFonts w:asciiTheme="minorHAnsi" w:hAnsiTheme="minorHAnsi"/>
      <w:color w:val="ED7D31" w:themeColor="accent2"/>
      <w:sz w:val="72"/>
    </w:rPr>
  </w:style>
  <w:style w:type="table" w:customStyle="1" w:styleId="TableMSA">
    <w:name w:val="Table MSA"/>
    <w:basedOn w:val="TableNormal"/>
    <w:uiPriority w:val="99"/>
    <w:rsid w:val="005B015B"/>
    <w:pPr>
      <w:spacing w:after="0" w:line="240" w:lineRule="auto"/>
    </w:pPr>
    <w:tblPr>
      <w:tblStyleRowBandSize w:val="1"/>
      <w:tblStyleColBandSize w:val="1"/>
      <w:tblInd w:w="142" w:type="dxa"/>
      <w:tblBorders>
        <w:top w:val="single" w:sz="2" w:space="0" w:color="00A3DB"/>
        <w:bottom w:val="single" w:sz="4" w:space="0" w:color="00A3DB"/>
        <w:insideH w:val="single" w:sz="2" w:space="0" w:color="00A3DB"/>
      </w:tblBorders>
      <w:tblCellMar>
        <w:left w:w="142" w:type="dxa"/>
        <w:right w:w="0" w:type="dxa"/>
      </w:tblCellMar>
    </w:tblPr>
    <w:tcPr>
      <w:shd w:val="clear" w:color="auto" w:fill="D4EEF5"/>
    </w:tcPr>
    <w:tblStylePr w:type="firstRow">
      <w:rPr>
        <w:rFonts w:asciiTheme="minorHAnsi" w:hAnsiTheme="minorHAnsi"/>
        <w:b w:val="0"/>
        <w:color w:val="D4EEF5"/>
        <w:sz w:val="24"/>
      </w:rPr>
      <w:tblPr/>
      <w:tcPr>
        <w:shd w:val="clear" w:color="auto" w:fill="BADBE3"/>
      </w:tcPr>
    </w:tblStylePr>
    <w:tblStylePr w:type="lastRow">
      <w:rPr>
        <w:b/>
      </w:rPr>
      <w:tblPr/>
      <w:tcPr>
        <w:shd w:val="clear" w:color="auto" w:fill="E2EFD9" w:themeFill="accent6" w:themeFillTint="33"/>
      </w:tcPr>
    </w:tblStylePr>
    <w:tblStylePr w:type="lastCol">
      <w:tblPr/>
      <w:tcPr>
        <w:shd w:val="clear" w:color="auto" w:fill="E2EFD9" w:themeFill="accent6" w:themeFillTint="33"/>
      </w:tcPr>
    </w:tblStylePr>
    <w:tblStylePr w:type="band2Vert">
      <w:tblPr/>
      <w:tcPr>
        <w:shd w:val="clear" w:color="auto" w:fill="E2EFD9" w:themeFill="accent6" w:themeFillTint="33"/>
      </w:tcPr>
    </w:tblStylePr>
  </w:style>
  <w:style w:type="numbering" w:customStyle="1" w:styleId="ListNumber">
    <w:name w:val="List_Number"/>
    <w:uiPriority w:val="99"/>
    <w:rsid w:val="009A2C73"/>
    <w:pPr>
      <w:numPr>
        <w:numId w:val="1"/>
      </w:numPr>
    </w:pPr>
  </w:style>
  <w:style w:type="numbering" w:customStyle="1" w:styleId="ListNbrHeading">
    <w:name w:val="List_NbrHeading"/>
    <w:uiPriority w:val="99"/>
    <w:rsid w:val="009A2C73"/>
    <w:pPr>
      <w:numPr>
        <w:numId w:val="2"/>
      </w:numPr>
    </w:pPr>
  </w:style>
  <w:style w:type="numbering" w:customStyle="1" w:styleId="ListTableNumber">
    <w:name w:val="List_TableNumber"/>
    <w:uiPriority w:val="99"/>
    <w:rsid w:val="009A2C73"/>
    <w:pPr>
      <w:numPr>
        <w:numId w:val="3"/>
      </w:numPr>
    </w:pPr>
  </w:style>
  <w:style w:type="numbering" w:customStyle="1" w:styleId="ListSectionTitle">
    <w:name w:val="List_SectionTitle"/>
    <w:uiPriority w:val="99"/>
    <w:rsid w:val="009A2C73"/>
    <w:pPr>
      <w:numPr>
        <w:numId w:val="4"/>
      </w:numPr>
    </w:pPr>
  </w:style>
  <w:style w:type="character" w:customStyle="1" w:styleId="Heading3Char">
    <w:name w:val="Heading 3 Char"/>
    <w:basedOn w:val="DefaultParagraphFont"/>
    <w:link w:val="Heading3"/>
    <w:uiPriority w:val="9"/>
    <w:rsid w:val="009A2C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A2C7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9A2C73"/>
    <w:rPr>
      <w:rFonts w:asciiTheme="majorHAnsi" w:eastAsiaTheme="majorEastAsia" w:hAnsiTheme="majorHAnsi" w:cstheme="majorBidi"/>
      <w:color w:val="2E74B5" w:themeColor="accent1" w:themeShade="BF"/>
      <w:sz w:val="24"/>
    </w:rPr>
  </w:style>
  <w:style w:type="paragraph" w:customStyle="1" w:styleId="Footnote">
    <w:name w:val="Footnote"/>
    <w:basedOn w:val="Normal"/>
    <w:link w:val="FootnoteChar"/>
    <w:qFormat/>
    <w:rsid w:val="009A2C73"/>
    <w:rPr>
      <w:sz w:val="20"/>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53228A"/>
    <w:rPr>
      <w:rFonts w:ascii="Arial" w:hAnsi="Arial"/>
      <w:sz w:val="24"/>
    </w:rPr>
  </w:style>
  <w:style w:type="character" w:customStyle="1" w:styleId="FootnoteChar">
    <w:name w:val="Footnote Char"/>
    <w:basedOn w:val="DefaultParagraphFont"/>
    <w:link w:val="Footnote"/>
    <w:rsid w:val="009A2C73"/>
    <w:rPr>
      <w:rFonts w:ascii="Arial" w:hAnsi="Arial"/>
      <w:sz w:val="20"/>
    </w:rPr>
  </w:style>
  <w:style w:type="character" w:styleId="Strong">
    <w:name w:val="Strong"/>
    <w:basedOn w:val="DefaultParagraphFont"/>
    <w:uiPriority w:val="22"/>
    <w:qFormat/>
    <w:rsid w:val="00451DE4"/>
    <w:rPr>
      <w:b/>
      <w:bCs/>
    </w:rPr>
  </w:style>
  <w:style w:type="paragraph" w:customStyle="1" w:styleId="Folios">
    <w:name w:val="Folios"/>
    <w:basedOn w:val="FootnoteText"/>
    <w:qFormat/>
    <w:rsid w:val="00543D23"/>
    <w:rPr>
      <w:color w:val="00B0F0"/>
    </w:rPr>
  </w:style>
  <w:style w:type="table" w:styleId="GridTable2-Accent1">
    <w:name w:val="Grid Table 2 Accent 1"/>
    <w:basedOn w:val="TableNormal"/>
    <w:uiPriority w:val="47"/>
    <w:rsid w:val="0049511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aliases w:val="Cover Title Table"/>
    <w:basedOn w:val="TableNormal"/>
    <w:uiPriority w:val="59"/>
    <w:rsid w:val="00527B57"/>
    <w:pPr>
      <w:spacing w:after="0" w:line="240" w:lineRule="auto"/>
    </w:pPr>
    <w:tblPr>
      <w:tblBorders>
        <w:top w:val="single" w:sz="6" w:space="0" w:color="FFFFFF" w:themeColor="background1"/>
        <w:bottom w:val="single" w:sz="6" w:space="0" w:color="FFFFFF" w:themeColor="background1"/>
        <w:insideH w:val="single" w:sz="6" w:space="0" w:color="FFFFFF" w:themeColor="background1"/>
      </w:tblBorders>
      <w:tblCellMar>
        <w:top w:w="567" w:type="dxa"/>
        <w:bottom w:w="567" w:type="dxa"/>
      </w:tblCellMar>
    </w:tblPr>
    <w:tcPr>
      <w:shd w:val="clear" w:color="auto" w:fill="auto"/>
    </w:tcPr>
  </w:style>
  <w:style w:type="table" w:styleId="GridTable3-Accent1">
    <w:name w:val="Grid Table 3 Accent 1"/>
    <w:basedOn w:val="TableNormal"/>
    <w:uiPriority w:val="48"/>
    <w:rsid w:val="0049511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5">
    <w:name w:val="Grid Table 2 Accent 5"/>
    <w:basedOn w:val="TableNormal"/>
    <w:uiPriority w:val="47"/>
    <w:rsid w:val="0049511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06B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5B015B"/>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B015B"/>
    <w:rPr>
      <w:rFonts w:eastAsiaTheme="minorEastAsia"/>
      <w:lang w:val="en-US" w:eastAsia="zh-CN"/>
    </w:rPr>
  </w:style>
  <w:style w:type="paragraph" w:customStyle="1" w:styleId="CoverTitle">
    <w:name w:val="Cover Title"/>
    <w:qFormat/>
    <w:rsid w:val="003440BA"/>
    <w:pPr>
      <w:spacing w:line="240" w:lineRule="auto"/>
    </w:pPr>
    <w:rPr>
      <w:rFonts w:ascii="Palatino" w:hAnsi="Palatino" w:cs="Arial"/>
      <w:b/>
      <w:bCs/>
      <w:color w:val="FFFFFF" w:themeColor="background1"/>
      <w:sz w:val="72"/>
      <w:szCs w:val="72"/>
    </w:rPr>
  </w:style>
  <w:style w:type="paragraph" w:customStyle="1" w:styleId="CoverAuthors">
    <w:name w:val="Cover Authors"/>
    <w:basedOn w:val="BodyText"/>
    <w:qFormat/>
    <w:rsid w:val="00527B57"/>
    <w:pPr>
      <w:spacing w:after="0"/>
    </w:pPr>
    <w:rPr>
      <w:color w:val="FFFFFF" w:themeColor="background1"/>
      <w:sz w:val="32"/>
    </w:rPr>
  </w:style>
  <w:style w:type="paragraph" w:customStyle="1" w:styleId="Quotes">
    <w:name w:val="Quotes"/>
    <w:basedOn w:val="Normal"/>
    <w:qFormat/>
    <w:rsid w:val="009825BC"/>
    <w:pPr>
      <w:ind w:left="170" w:hanging="170"/>
    </w:pPr>
    <w:rPr>
      <w:b/>
      <w:iCs/>
      <w:lang w:val="en-US"/>
    </w:rPr>
  </w:style>
  <w:style w:type="character" w:customStyle="1" w:styleId="UnresolvedMention1">
    <w:name w:val="Unresolved Mention1"/>
    <w:basedOn w:val="DefaultParagraphFont"/>
    <w:uiPriority w:val="99"/>
    <w:semiHidden/>
    <w:unhideWhenUsed/>
    <w:rsid w:val="00146E0D"/>
    <w:rPr>
      <w:color w:val="605E5C"/>
      <w:shd w:val="clear" w:color="auto" w:fill="E1DFDD"/>
    </w:rPr>
  </w:style>
  <w:style w:type="character" w:customStyle="1" w:styleId="Heading6Char">
    <w:name w:val="Heading 6 Char"/>
    <w:basedOn w:val="DefaultParagraphFont"/>
    <w:link w:val="Heading6"/>
    <w:uiPriority w:val="9"/>
    <w:rsid w:val="00581A5E"/>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581A5E"/>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581A5E"/>
    <w:rPr>
      <w:rFonts w:asciiTheme="majorHAnsi" w:eastAsiaTheme="majorEastAsia" w:hAnsiTheme="majorHAnsi" w:cstheme="majorBidi"/>
      <w:color w:val="5B9BD5" w:themeColor="accent1"/>
      <w:sz w:val="20"/>
      <w:szCs w:val="20"/>
      <w:lang w:eastAsia="en-GB"/>
    </w:rPr>
  </w:style>
  <w:style w:type="character" w:customStyle="1" w:styleId="Heading9Char">
    <w:name w:val="Heading 9 Char"/>
    <w:basedOn w:val="DefaultParagraphFont"/>
    <w:link w:val="Heading9"/>
    <w:uiPriority w:val="9"/>
    <w:semiHidden/>
    <w:rsid w:val="00581A5E"/>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qFormat/>
    <w:rsid w:val="00581A5E"/>
    <w:pPr>
      <w:spacing w:before="240" w:after="200" w:line="360" w:lineRule="auto"/>
    </w:pPr>
    <w:rPr>
      <w:rFonts w:ascii="Helvetica" w:eastAsiaTheme="minorEastAsia" w:hAnsi="Helvetica"/>
      <w:b/>
      <w:sz w:val="44"/>
      <w:szCs w:val="44"/>
      <w:lang w:eastAsia="en-GB"/>
    </w:rPr>
  </w:style>
  <w:style w:type="character" w:customStyle="1" w:styleId="TitleChar">
    <w:name w:val="Title Char"/>
    <w:basedOn w:val="DefaultParagraphFont"/>
    <w:link w:val="Title"/>
    <w:uiPriority w:val="10"/>
    <w:rsid w:val="00581A5E"/>
    <w:rPr>
      <w:rFonts w:ascii="Helvetica" w:eastAsiaTheme="minorEastAsia" w:hAnsi="Helvetica"/>
      <w:b/>
      <w:sz w:val="44"/>
      <w:szCs w:val="44"/>
      <w:lang w:eastAsia="en-GB"/>
    </w:rPr>
  </w:style>
  <w:style w:type="paragraph" w:styleId="Subtitle">
    <w:name w:val="Subtitle"/>
    <w:basedOn w:val="Normal"/>
    <w:next w:val="Normal"/>
    <w:link w:val="SubtitleChar"/>
    <w:uiPriority w:val="11"/>
    <w:qFormat/>
    <w:rsid w:val="00581A5E"/>
    <w:pPr>
      <w:numPr>
        <w:ilvl w:val="1"/>
      </w:numPr>
      <w:spacing w:before="240" w:after="200" w:line="360" w:lineRule="auto"/>
    </w:pPr>
    <w:rPr>
      <w:rFonts w:asciiTheme="majorHAnsi" w:eastAsiaTheme="majorEastAsia" w:hAnsiTheme="majorHAnsi" w:cstheme="majorBidi"/>
      <w:i/>
      <w:iCs/>
      <w:color w:val="5B9BD5" w:themeColor="accent1"/>
      <w:spacing w:val="15"/>
      <w:szCs w:val="24"/>
      <w:lang w:eastAsia="en-GB"/>
    </w:rPr>
  </w:style>
  <w:style w:type="character" w:customStyle="1" w:styleId="SubtitleChar">
    <w:name w:val="Subtitle Char"/>
    <w:basedOn w:val="DefaultParagraphFont"/>
    <w:link w:val="Subtitle"/>
    <w:uiPriority w:val="11"/>
    <w:rsid w:val="00581A5E"/>
    <w:rPr>
      <w:rFonts w:asciiTheme="majorHAnsi" w:eastAsiaTheme="majorEastAsia" w:hAnsiTheme="majorHAnsi" w:cstheme="majorBidi"/>
      <w:i/>
      <w:iCs/>
      <w:color w:val="5B9BD5" w:themeColor="accent1"/>
      <w:spacing w:val="15"/>
      <w:sz w:val="24"/>
      <w:szCs w:val="24"/>
      <w:lang w:eastAsia="en-GB"/>
    </w:rPr>
  </w:style>
  <w:style w:type="paragraph" w:styleId="Quote">
    <w:name w:val="Quote"/>
    <w:basedOn w:val="Normal"/>
    <w:next w:val="Normal"/>
    <w:link w:val="QuoteChar"/>
    <w:uiPriority w:val="29"/>
    <w:qFormat/>
    <w:rsid w:val="00581A5E"/>
    <w:pPr>
      <w:spacing w:before="240" w:after="200" w:line="360" w:lineRule="auto"/>
    </w:pPr>
    <w:rPr>
      <w:rFonts w:ascii="Helvetica" w:eastAsiaTheme="minorEastAsia" w:hAnsi="Helvetica"/>
      <w:i/>
      <w:iCs/>
      <w:color w:val="000000" w:themeColor="text1"/>
      <w:sz w:val="22"/>
      <w:lang w:eastAsia="en-GB"/>
    </w:rPr>
  </w:style>
  <w:style w:type="character" w:customStyle="1" w:styleId="QuoteChar">
    <w:name w:val="Quote Char"/>
    <w:basedOn w:val="DefaultParagraphFont"/>
    <w:link w:val="Quote"/>
    <w:uiPriority w:val="29"/>
    <w:rsid w:val="00581A5E"/>
    <w:rPr>
      <w:rFonts w:ascii="Helvetica" w:eastAsiaTheme="minorEastAsia" w:hAnsi="Helvetica"/>
      <w:i/>
      <w:iCs/>
      <w:color w:val="000000" w:themeColor="text1"/>
      <w:lang w:eastAsia="en-GB"/>
    </w:rPr>
  </w:style>
  <w:style w:type="character" w:customStyle="1" w:styleId="element-citation">
    <w:name w:val="element-citation"/>
    <w:basedOn w:val="DefaultParagraphFont"/>
    <w:rsid w:val="00581A5E"/>
  </w:style>
  <w:style w:type="character" w:customStyle="1" w:styleId="ref-journal">
    <w:name w:val="ref-journal"/>
    <w:basedOn w:val="DefaultParagraphFont"/>
    <w:rsid w:val="00581A5E"/>
  </w:style>
  <w:style w:type="character" w:customStyle="1" w:styleId="ref-vol">
    <w:name w:val="ref-vol"/>
    <w:basedOn w:val="DefaultParagraphFont"/>
    <w:rsid w:val="00581A5E"/>
  </w:style>
  <w:style w:type="character" w:customStyle="1" w:styleId="nowrap">
    <w:name w:val="nowrap"/>
    <w:basedOn w:val="DefaultParagraphFont"/>
    <w:rsid w:val="00581A5E"/>
  </w:style>
  <w:style w:type="table" w:customStyle="1" w:styleId="TableGrid1">
    <w:name w:val="Table Grid1"/>
    <w:basedOn w:val="TableNormal"/>
    <w:next w:val="TableGrid"/>
    <w:uiPriority w:val="59"/>
    <w:rsid w:val="00581A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81A5E"/>
    <w:pPr>
      <w:spacing w:before="240" w:after="0" w:line="240" w:lineRule="auto"/>
    </w:pPr>
    <w:rPr>
      <w:rFonts w:ascii="Helvetica" w:hAnsi="Helvetica" w:cs="Times New Roman"/>
      <w:sz w:val="15"/>
      <w:szCs w:val="15"/>
      <w:lang w:val="en-GB" w:eastAsia="en-GB"/>
    </w:rPr>
  </w:style>
  <w:style w:type="paragraph" w:styleId="PlainText">
    <w:name w:val="Plain Text"/>
    <w:basedOn w:val="Normal"/>
    <w:link w:val="PlainTextChar"/>
    <w:uiPriority w:val="99"/>
    <w:semiHidden/>
    <w:unhideWhenUsed/>
    <w:rsid w:val="00581A5E"/>
    <w:pPr>
      <w:spacing w:before="240" w:after="0" w:line="240" w:lineRule="auto"/>
    </w:pPr>
    <w:rPr>
      <w:sz w:val="22"/>
      <w:szCs w:val="21"/>
    </w:rPr>
  </w:style>
  <w:style w:type="character" w:customStyle="1" w:styleId="PlainTextChar">
    <w:name w:val="Plain Text Char"/>
    <w:basedOn w:val="DefaultParagraphFont"/>
    <w:link w:val="PlainText"/>
    <w:uiPriority w:val="99"/>
    <w:semiHidden/>
    <w:rsid w:val="00581A5E"/>
    <w:rPr>
      <w:rFonts w:ascii="Arial" w:hAnsi="Arial"/>
      <w:szCs w:val="21"/>
    </w:rPr>
  </w:style>
  <w:style w:type="character" w:customStyle="1" w:styleId="nlmyear">
    <w:name w:val="nlm_year"/>
    <w:basedOn w:val="DefaultParagraphFont"/>
    <w:rsid w:val="00581A5E"/>
  </w:style>
  <w:style w:type="character" w:customStyle="1" w:styleId="nlmarticle-title">
    <w:name w:val="nlm_article-title"/>
    <w:basedOn w:val="DefaultParagraphFont"/>
    <w:rsid w:val="00581A5E"/>
  </w:style>
  <w:style w:type="character" w:customStyle="1" w:styleId="nlmfpage">
    <w:name w:val="nlm_fpage"/>
    <w:basedOn w:val="DefaultParagraphFont"/>
    <w:rsid w:val="00581A5E"/>
  </w:style>
  <w:style w:type="character" w:customStyle="1" w:styleId="nlmlpage">
    <w:name w:val="nlm_lpage"/>
    <w:basedOn w:val="DefaultParagraphFont"/>
    <w:rsid w:val="00581A5E"/>
  </w:style>
  <w:style w:type="character" w:customStyle="1" w:styleId="hlfld-contribauthor">
    <w:name w:val="hlfld-contribauthor"/>
    <w:basedOn w:val="DefaultParagraphFont"/>
    <w:rsid w:val="00581A5E"/>
  </w:style>
  <w:style w:type="character" w:customStyle="1" w:styleId="nlmgiven-names">
    <w:name w:val="nlm_given-names"/>
    <w:basedOn w:val="DefaultParagraphFont"/>
    <w:rsid w:val="00581A5E"/>
  </w:style>
  <w:style w:type="character" w:customStyle="1" w:styleId="refauthors">
    <w:name w:val="refauthors"/>
    <w:basedOn w:val="DefaultParagraphFont"/>
    <w:rsid w:val="00581A5E"/>
  </w:style>
  <w:style w:type="character" w:customStyle="1" w:styleId="reftitle">
    <w:name w:val="reftitle"/>
    <w:basedOn w:val="DefaultParagraphFont"/>
    <w:rsid w:val="00581A5E"/>
  </w:style>
  <w:style w:type="character" w:customStyle="1" w:styleId="refseriestitle">
    <w:name w:val="refseriestitle"/>
    <w:basedOn w:val="DefaultParagraphFont"/>
    <w:rsid w:val="00581A5E"/>
  </w:style>
  <w:style w:type="character" w:customStyle="1" w:styleId="refseriesdate">
    <w:name w:val="refseriesdate"/>
    <w:basedOn w:val="DefaultParagraphFont"/>
    <w:rsid w:val="00581A5E"/>
  </w:style>
  <w:style w:type="character" w:customStyle="1" w:styleId="refseriesvolume">
    <w:name w:val="refseriesvolume"/>
    <w:basedOn w:val="DefaultParagraphFont"/>
    <w:rsid w:val="00581A5E"/>
  </w:style>
  <w:style w:type="character" w:customStyle="1" w:styleId="refpages">
    <w:name w:val="refpages"/>
    <w:basedOn w:val="DefaultParagraphFont"/>
    <w:rsid w:val="00581A5E"/>
  </w:style>
  <w:style w:type="character" w:customStyle="1" w:styleId="jrnl">
    <w:name w:val="jrnl"/>
    <w:basedOn w:val="DefaultParagraphFont"/>
    <w:rsid w:val="00581A5E"/>
  </w:style>
  <w:style w:type="character" w:customStyle="1" w:styleId="pagerange">
    <w:name w:val="page_range"/>
    <w:basedOn w:val="DefaultParagraphFont"/>
    <w:rsid w:val="00581A5E"/>
  </w:style>
  <w:style w:type="character" w:customStyle="1" w:styleId="A8">
    <w:name w:val="A8"/>
    <w:uiPriority w:val="99"/>
    <w:rsid w:val="00581A5E"/>
    <w:rPr>
      <w:rFonts w:cs="Calibri"/>
      <w:color w:val="000000"/>
      <w:sz w:val="22"/>
      <w:szCs w:val="22"/>
    </w:rPr>
  </w:style>
  <w:style w:type="paragraph" w:customStyle="1" w:styleId="Subtitle1">
    <w:name w:val="Subtitle1"/>
    <w:basedOn w:val="Normal"/>
    <w:rsid w:val="00581A5E"/>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journalname">
    <w:name w:val="journalname"/>
    <w:basedOn w:val="DefaultParagraphFont"/>
    <w:rsid w:val="00581A5E"/>
  </w:style>
  <w:style w:type="character" w:customStyle="1" w:styleId="year">
    <w:name w:val="year"/>
    <w:basedOn w:val="DefaultParagraphFont"/>
    <w:rsid w:val="00581A5E"/>
  </w:style>
  <w:style w:type="character" w:customStyle="1" w:styleId="volume">
    <w:name w:val="volume"/>
    <w:basedOn w:val="DefaultParagraphFont"/>
    <w:rsid w:val="00581A5E"/>
  </w:style>
  <w:style w:type="character" w:customStyle="1" w:styleId="issue">
    <w:name w:val="issue"/>
    <w:basedOn w:val="DefaultParagraphFont"/>
    <w:rsid w:val="00581A5E"/>
  </w:style>
  <w:style w:type="character" w:customStyle="1" w:styleId="page">
    <w:name w:val="page"/>
    <w:basedOn w:val="DefaultParagraphFont"/>
    <w:rsid w:val="00581A5E"/>
  </w:style>
  <w:style w:type="character" w:customStyle="1" w:styleId="cit">
    <w:name w:val="cit"/>
    <w:basedOn w:val="DefaultParagraphFont"/>
    <w:rsid w:val="00581A5E"/>
  </w:style>
  <w:style w:type="character" w:customStyle="1" w:styleId="doi">
    <w:name w:val="doi"/>
    <w:basedOn w:val="DefaultParagraphFont"/>
    <w:rsid w:val="00581A5E"/>
  </w:style>
  <w:style w:type="character" w:customStyle="1" w:styleId="fm-citation-ids-label">
    <w:name w:val="fm-citation-ids-label"/>
    <w:basedOn w:val="DefaultParagraphFont"/>
    <w:rsid w:val="00581A5E"/>
  </w:style>
  <w:style w:type="character" w:customStyle="1" w:styleId="author-twitter">
    <w:name w:val="author-twitter"/>
    <w:basedOn w:val="DefaultParagraphFont"/>
    <w:rsid w:val="00581A5E"/>
  </w:style>
  <w:style w:type="character" w:customStyle="1" w:styleId="epub-state">
    <w:name w:val="epub-state"/>
    <w:basedOn w:val="DefaultParagraphFont"/>
    <w:rsid w:val="00581A5E"/>
  </w:style>
  <w:style w:type="character" w:customStyle="1" w:styleId="epub-date">
    <w:name w:val="epub-date"/>
    <w:basedOn w:val="DefaultParagraphFont"/>
    <w:rsid w:val="00581A5E"/>
  </w:style>
  <w:style w:type="table" w:styleId="LightList">
    <w:name w:val="Light List"/>
    <w:basedOn w:val="TableNormal"/>
    <w:uiPriority w:val="61"/>
    <w:rsid w:val="00581A5E"/>
    <w:pPr>
      <w:spacing w:after="0" w:line="240" w:lineRule="auto"/>
    </w:pPr>
    <w:rPr>
      <w:rFonts w:ascii="Calibri" w:eastAsia="Calibri" w:hAnsi="Calibri" w:cs="Calibri"/>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ocumentMap">
    <w:name w:val="Document Map"/>
    <w:basedOn w:val="Normal"/>
    <w:link w:val="DocumentMapChar"/>
    <w:uiPriority w:val="99"/>
    <w:semiHidden/>
    <w:unhideWhenUsed/>
    <w:rsid w:val="00581A5E"/>
    <w:pPr>
      <w:spacing w:before="240" w:after="0" w:line="240" w:lineRule="auto"/>
    </w:pPr>
    <w:rPr>
      <w:rFonts w:ascii="Lucida Grande" w:eastAsiaTheme="minorEastAsia" w:hAnsi="Lucida Grande" w:cs="Lucida Grande"/>
      <w:szCs w:val="24"/>
      <w:lang w:eastAsia="en-GB"/>
    </w:rPr>
  </w:style>
  <w:style w:type="character" w:customStyle="1" w:styleId="DocumentMapChar">
    <w:name w:val="Document Map Char"/>
    <w:basedOn w:val="DefaultParagraphFont"/>
    <w:link w:val="DocumentMap"/>
    <w:uiPriority w:val="99"/>
    <w:semiHidden/>
    <w:rsid w:val="00581A5E"/>
    <w:rPr>
      <w:rFonts w:ascii="Lucida Grande" w:eastAsiaTheme="minorEastAsia" w:hAnsi="Lucida Grande" w:cs="Lucida Grande"/>
      <w:sz w:val="24"/>
      <w:szCs w:val="24"/>
      <w:lang w:eastAsia="en-GB"/>
    </w:rPr>
  </w:style>
  <w:style w:type="paragraph" w:styleId="Caption">
    <w:name w:val="caption"/>
    <w:basedOn w:val="Normal"/>
    <w:next w:val="Normal"/>
    <w:uiPriority w:val="35"/>
    <w:semiHidden/>
    <w:unhideWhenUsed/>
    <w:qFormat/>
    <w:rsid w:val="00581A5E"/>
    <w:pPr>
      <w:spacing w:before="240" w:after="200" w:line="240" w:lineRule="auto"/>
    </w:pPr>
    <w:rPr>
      <w:rFonts w:ascii="Helvetica" w:eastAsiaTheme="minorEastAsia" w:hAnsi="Helvetica"/>
      <w:b/>
      <w:bCs/>
      <w:color w:val="5B9BD5" w:themeColor="accent1"/>
      <w:sz w:val="18"/>
      <w:szCs w:val="18"/>
      <w:lang w:eastAsia="en-GB"/>
    </w:rPr>
  </w:style>
  <w:style w:type="paragraph" w:styleId="IntenseQuote">
    <w:name w:val="Intense Quote"/>
    <w:basedOn w:val="Normal"/>
    <w:next w:val="Normal"/>
    <w:link w:val="IntenseQuoteChar"/>
    <w:uiPriority w:val="30"/>
    <w:qFormat/>
    <w:rsid w:val="00581A5E"/>
    <w:pPr>
      <w:pBdr>
        <w:bottom w:val="single" w:sz="4" w:space="4" w:color="5B9BD5" w:themeColor="accent1"/>
      </w:pBdr>
      <w:spacing w:before="200" w:after="280" w:line="360" w:lineRule="auto"/>
      <w:ind w:left="936" w:right="936"/>
    </w:pPr>
    <w:rPr>
      <w:rFonts w:ascii="Helvetica" w:eastAsiaTheme="minorEastAsia" w:hAnsi="Helvetica"/>
      <w:b/>
      <w:bCs/>
      <w:i/>
      <w:iCs/>
      <w:color w:val="5B9BD5" w:themeColor="accent1"/>
      <w:sz w:val="22"/>
      <w:lang w:eastAsia="en-GB"/>
    </w:rPr>
  </w:style>
  <w:style w:type="character" w:customStyle="1" w:styleId="IntenseQuoteChar">
    <w:name w:val="Intense Quote Char"/>
    <w:basedOn w:val="DefaultParagraphFont"/>
    <w:link w:val="IntenseQuote"/>
    <w:uiPriority w:val="30"/>
    <w:rsid w:val="00581A5E"/>
    <w:rPr>
      <w:rFonts w:ascii="Helvetica" w:eastAsiaTheme="minorEastAsia" w:hAnsi="Helvetica"/>
      <w:b/>
      <w:bCs/>
      <w:i/>
      <w:iCs/>
      <w:color w:val="5B9BD5" w:themeColor="accent1"/>
      <w:lang w:eastAsia="en-GB"/>
    </w:rPr>
  </w:style>
  <w:style w:type="character" w:styleId="SubtleEmphasis">
    <w:name w:val="Subtle Emphasis"/>
    <w:basedOn w:val="DefaultParagraphFont"/>
    <w:uiPriority w:val="19"/>
    <w:qFormat/>
    <w:rsid w:val="00581A5E"/>
    <w:rPr>
      <w:i/>
      <w:iCs/>
      <w:color w:val="808080" w:themeColor="text1" w:themeTint="7F"/>
    </w:rPr>
  </w:style>
  <w:style w:type="character" w:styleId="IntenseEmphasis">
    <w:name w:val="Intense Emphasis"/>
    <w:basedOn w:val="DefaultParagraphFont"/>
    <w:uiPriority w:val="21"/>
    <w:qFormat/>
    <w:rsid w:val="00581A5E"/>
    <w:rPr>
      <w:b/>
      <w:bCs/>
      <w:i/>
      <w:iCs/>
      <w:color w:val="5B9BD5" w:themeColor="accent1"/>
    </w:rPr>
  </w:style>
  <w:style w:type="character" w:styleId="SubtleReference">
    <w:name w:val="Subtle Reference"/>
    <w:basedOn w:val="DefaultParagraphFont"/>
    <w:uiPriority w:val="31"/>
    <w:qFormat/>
    <w:rsid w:val="00581A5E"/>
    <w:rPr>
      <w:smallCaps/>
      <w:color w:val="ED7D31" w:themeColor="accent2"/>
      <w:u w:val="single"/>
    </w:rPr>
  </w:style>
  <w:style w:type="character" w:styleId="IntenseReference">
    <w:name w:val="Intense Reference"/>
    <w:basedOn w:val="DefaultParagraphFont"/>
    <w:uiPriority w:val="32"/>
    <w:qFormat/>
    <w:rsid w:val="00581A5E"/>
    <w:rPr>
      <w:b/>
      <w:bCs/>
      <w:smallCaps/>
      <w:color w:val="ED7D31" w:themeColor="accent2"/>
      <w:spacing w:val="5"/>
      <w:u w:val="single"/>
    </w:rPr>
  </w:style>
  <w:style w:type="character" w:styleId="BookTitle">
    <w:name w:val="Book Title"/>
    <w:basedOn w:val="DefaultParagraphFont"/>
    <w:uiPriority w:val="33"/>
    <w:qFormat/>
    <w:rsid w:val="00581A5E"/>
    <w:rPr>
      <w:b/>
      <w:bCs/>
      <w:smallCaps/>
      <w:spacing w:val="5"/>
    </w:rPr>
  </w:style>
  <w:style w:type="character" w:styleId="PageNumber">
    <w:name w:val="page number"/>
    <w:basedOn w:val="DefaultParagraphFont"/>
    <w:uiPriority w:val="99"/>
    <w:semiHidden/>
    <w:unhideWhenUsed/>
    <w:rsid w:val="00581A5E"/>
  </w:style>
  <w:style w:type="paragraph" w:customStyle="1" w:styleId="EndNoteBibliography">
    <w:name w:val="EndNote Bibliography"/>
    <w:basedOn w:val="Normal"/>
    <w:rsid w:val="00581A5E"/>
    <w:pPr>
      <w:spacing w:before="240" w:after="0" w:line="240" w:lineRule="auto"/>
    </w:pPr>
    <w:rPr>
      <w:rFonts w:ascii="Calibri" w:eastAsiaTheme="minorEastAsia" w:hAnsi="Calibri" w:cs="Arial"/>
      <w:sz w:val="22"/>
      <w:lang w:val="en-US"/>
    </w:rPr>
  </w:style>
  <w:style w:type="paragraph" w:styleId="TOC3">
    <w:name w:val="toc 3"/>
    <w:basedOn w:val="Normal"/>
    <w:next w:val="Normal"/>
    <w:autoRedefine/>
    <w:uiPriority w:val="39"/>
    <w:unhideWhenUsed/>
    <w:rsid w:val="00581A5E"/>
    <w:pPr>
      <w:tabs>
        <w:tab w:val="right" w:leader="dot" w:pos="9016"/>
      </w:tabs>
      <w:spacing w:before="100" w:after="100" w:line="360" w:lineRule="auto"/>
      <w:ind w:left="442"/>
    </w:pPr>
    <w:rPr>
      <w:rFonts w:ascii="Helvetica" w:eastAsiaTheme="minorEastAsia" w:hAnsi="Helvetica"/>
      <w:sz w:val="22"/>
      <w:lang w:eastAsia="en-GB"/>
    </w:rPr>
  </w:style>
  <w:style w:type="paragraph" w:customStyle="1" w:styleId="Link">
    <w:name w:val="Link"/>
    <w:basedOn w:val="ListParagraph"/>
    <w:qFormat/>
    <w:rsid w:val="00581A5E"/>
    <w:pPr>
      <w:spacing w:before="240" w:after="240" w:line="360" w:lineRule="auto"/>
      <w:ind w:hanging="360"/>
    </w:pPr>
    <w:rPr>
      <w:rFonts w:ascii="Helvetica" w:eastAsiaTheme="minorEastAsia" w:hAnsi="Helvetica"/>
      <w:sz w:val="22"/>
      <w:lang w:eastAsia="en-GB"/>
    </w:rPr>
  </w:style>
  <w:style w:type="paragraph" w:customStyle="1" w:styleId="Style1">
    <w:name w:val="Style1"/>
    <w:basedOn w:val="ListParagraph"/>
    <w:next w:val="Link"/>
    <w:qFormat/>
    <w:rsid w:val="00581A5E"/>
    <w:pPr>
      <w:spacing w:before="240" w:after="240" w:line="360" w:lineRule="auto"/>
      <w:ind w:hanging="360"/>
    </w:pPr>
    <w:rPr>
      <w:rFonts w:ascii="Helvetica" w:eastAsiaTheme="minorEastAsia" w:hAnsi="Helvetica"/>
      <w:sz w:val="22"/>
      <w:lang w:eastAsia="en-GB"/>
    </w:rPr>
  </w:style>
  <w:style w:type="paragraph" w:customStyle="1" w:styleId="Link1">
    <w:name w:val="Link1"/>
    <w:basedOn w:val="ListParagraph"/>
    <w:next w:val="Link"/>
    <w:qFormat/>
    <w:rsid w:val="00581A5E"/>
    <w:pPr>
      <w:spacing w:before="240" w:after="240" w:line="360" w:lineRule="auto"/>
      <w:ind w:hanging="360"/>
    </w:pPr>
    <w:rPr>
      <w:rFonts w:ascii="Helvetica" w:eastAsiaTheme="minorEastAsia" w:hAnsi="Helvetica"/>
      <w:sz w:val="22"/>
      <w:lang w:eastAsia="en-GB"/>
    </w:rPr>
  </w:style>
  <w:style w:type="character" w:customStyle="1" w:styleId="acopre">
    <w:name w:val="acopre"/>
    <w:basedOn w:val="DefaultParagraphFont"/>
    <w:rsid w:val="008B7F50"/>
  </w:style>
  <w:style w:type="paragraph" w:styleId="Date">
    <w:name w:val="Date"/>
    <w:basedOn w:val="Normal"/>
    <w:link w:val="DateChar"/>
    <w:uiPriority w:val="99"/>
    <w:semiHidden/>
    <w:unhideWhenUsed/>
    <w:rsid w:val="005419D2"/>
    <w:pPr>
      <w:spacing w:after="0" w:line="220" w:lineRule="exact"/>
    </w:pPr>
    <w:rPr>
      <w:rFonts w:ascii="Calibri" w:hAnsi="Calibri" w:cs="Calibri"/>
      <w:color w:val="000000"/>
      <w:sz w:val="16"/>
      <w:szCs w:val="16"/>
      <w:lang w:eastAsia="en-AU"/>
    </w:rPr>
  </w:style>
  <w:style w:type="character" w:customStyle="1" w:styleId="DateChar">
    <w:name w:val="Date Char"/>
    <w:basedOn w:val="DefaultParagraphFont"/>
    <w:link w:val="Date"/>
    <w:uiPriority w:val="99"/>
    <w:semiHidden/>
    <w:rsid w:val="005419D2"/>
    <w:rPr>
      <w:rFonts w:ascii="Calibri" w:hAnsi="Calibri" w:cs="Calibri"/>
      <w:color w:val="000000"/>
      <w:sz w:val="16"/>
      <w:szCs w:val="16"/>
      <w:lang w:eastAsia="en-AU"/>
    </w:rPr>
  </w:style>
  <w:style w:type="character" w:customStyle="1" w:styleId="css-901oao">
    <w:name w:val="css-901oao"/>
    <w:basedOn w:val="DefaultParagraphFont"/>
    <w:rsid w:val="00681418"/>
  </w:style>
  <w:style w:type="character" w:customStyle="1" w:styleId="color15">
    <w:name w:val="color_15"/>
    <w:basedOn w:val="DefaultParagraphFont"/>
    <w:rsid w:val="00E0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580">
      <w:bodyDiv w:val="1"/>
      <w:marLeft w:val="0"/>
      <w:marRight w:val="0"/>
      <w:marTop w:val="0"/>
      <w:marBottom w:val="0"/>
      <w:divBdr>
        <w:top w:val="none" w:sz="0" w:space="0" w:color="auto"/>
        <w:left w:val="none" w:sz="0" w:space="0" w:color="auto"/>
        <w:bottom w:val="none" w:sz="0" w:space="0" w:color="auto"/>
        <w:right w:val="none" w:sz="0" w:space="0" w:color="auto"/>
      </w:divBdr>
    </w:div>
    <w:div w:id="210117383">
      <w:bodyDiv w:val="1"/>
      <w:marLeft w:val="0"/>
      <w:marRight w:val="0"/>
      <w:marTop w:val="0"/>
      <w:marBottom w:val="0"/>
      <w:divBdr>
        <w:top w:val="none" w:sz="0" w:space="0" w:color="auto"/>
        <w:left w:val="none" w:sz="0" w:space="0" w:color="auto"/>
        <w:bottom w:val="none" w:sz="0" w:space="0" w:color="auto"/>
        <w:right w:val="none" w:sz="0" w:space="0" w:color="auto"/>
      </w:divBdr>
    </w:div>
    <w:div w:id="215089786">
      <w:bodyDiv w:val="1"/>
      <w:marLeft w:val="0"/>
      <w:marRight w:val="0"/>
      <w:marTop w:val="0"/>
      <w:marBottom w:val="0"/>
      <w:divBdr>
        <w:top w:val="none" w:sz="0" w:space="0" w:color="auto"/>
        <w:left w:val="none" w:sz="0" w:space="0" w:color="auto"/>
        <w:bottom w:val="none" w:sz="0" w:space="0" w:color="auto"/>
        <w:right w:val="none" w:sz="0" w:space="0" w:color="auto"/>
      </w:divBdr>
      <w:divsChild>
        <w:div w:id="1670869027">
          <w:marLeft w:val="0"/>
          <w:marRight w:val="0"/>
          <w:marTop w:val="0"/>
          <w:marBottom w:val="0"/>
          <w:divBdr>
            <w:top w:val="none" w:sz="0" w:space="0" w:color="auto"/>
            <w:left w:val="none" w:sz="0" w:space="0" w:color="auto"/>
            <w:bottom w:val="none" w:sz="0" w:space="0" w:color="auto"/>
            <w:right w:val="none" w:sz="0" w:space="0" w:color="auto"/>
          </w:divBdr>
        </w:div>
      </w:divsChild>
    </w:div>
    <w:div w:id="281621453">
      <w:bodyDiv w:val="1"/>
      <w:marLeft w:val="0"/>
      <w:marRight w:val="0"/>
      <w:marTop w:val="0"/>
      <w:marBottom w:val="0"/>
      <w:divBdr>
        <w:top w:val="none" w:sz="0" w:space="0" w:color="auto"/>
        <w:left w:val="none" w:sz="0" w:space="0" w:color="auto"/>
        <w:bottom w:val="none" w:sz="0" w:space="0" w:color="auto"/>
        <w:right w:val="none" w:sz="0" w:space="0" w:color="auto"/>
      </w:divBdr>
    </w:div>
    <w:div w:id="364135050">
      <w:bodyDiv w:val="1"/>
      <w:marLeft w:val="0"/>
      <w:marRight w:val="0"/>
      <w:marTop w:val="0"/>
      <w:marBottom w:val="0"/>
      <w:divBdr>
        <w:top w:val="none" w:sz="0" w:space="0" w:color="auto"/>
        <w:left w:val="none" w:sz="0" w:space="0" w:color="auto"/>
        <w:bottom w:val="none" w:sz="0" w:space="0" w:color="auto"/>
        <w:right w:val="none" w:sz="0" w:space="0" w:color="auto"/>
      </w:divBdr>
    </w:div>
    <w:div w:id="374931725">
      <w:bodyDiv w:val="1"/>
      <w:marLeft w:val="0"/>
      <w:marRight w:val="0"/>
      <w:marTop w:val="0"/>
      <w:marBottom w:val="0"/>
      <w:divBdr>
        <w:top w:val="none" w:sz="0" w:space="0" w:color="auto"/>
        <w:left w:val="none" w:sz="0" w:space="0" w:color="auto"/>
        <w:bottom w:val="none" w:sz="0" w:space="0" w:color="auto"/>
        <w:right w:val="none" w:sz="0" w:space="0" w:color="auto"/>
      </w:divBdr>
    </w:div>
    <w:div w:id="547423358">
      <w:bodyDiv w:val="1"/>
      <w:marLeft w:val="0"/>
      <w:marRight w:val="0"/>
      <w:marTop w:val="0"/>
      <w:marBottom w:val="0"/>
      <w:divBdr>
        <w:top w:val="none" w:sz="0" w:space="0" w:color="auto"/>
        <w:left w:val="none" w:sz="0" w:space="0" w:color="auto"/>
        <w:bottom w:val="none" w:sz="0" w:space="0" w:color="auto"/>
        <w:right w:val="none" w:sz="0" w:space="0" w:color="auto"/>
      </w:divBdr>
    </w:div>
    <w:div w:id="569731430">
      <w:bodyDiv w:val="1"/>
      <w:marLeft w:val="0"/>
      <w:marRight w:val="0"/>
      <w:marTop w:val="0"/>
      <w:marBottom w:val="0"/>
      <w:divBdr>
        <w:top w:val="none" w:sz="0" w:space="0" w:color="auto"/>
        <w:left w:val="none" w:sz="0" w:space="0" w:color="auto"/>
        <w:bottom w:val="none" w:sz="0" w:space="0" w:color="auto"/>
        <w:right w:val="none" w:sz="0" w:space="0" w:color="auto"/>
      </w:divBdr>
    </w:div>
    <w:div w:id="582959368">
      <w:bodyDiv w:val="1"/>
      <w:marLeft w:val="0"/>
      <w:marRight w:val="0"/>
      <w:marTop w:val="0"/>
      <w:marBottom w:val="0"/>
      <w:divBdr>
        <w:top w:val="none" w:sz="0" w:space="0" w:color="auto"/>
        <w:left w:val="none" w:sz="0" w:space="0" w:color="auto"/>
        <w:bottom w:val="none" w:sz="0" w:space="0" w:color="auto"/>
        <w:right w:val="none" w:sz="0" w:space="0" w:color="auto"/>
      </w:divBdr>
    </w:div>
    <w:div w:id="592785140">
      <w:bodyDiv w:val="1"/>
      <w:marLeft w:val="0"/>
      <w:marRight w:val="0"/>
      <w:marTop w:val="0"/>
      <w:marBottom w:val="0"/>
      <w:divBdr>
        <w:top w:val="none" w:sz="0" w:space="0" w:color="auto"/>
        <w:left w:val="none" w:sz="0" w:space="0" w:color="auto"/>
        <w:bottom w:val="none" w:sz="0" w:space="0" w:color="auto"/>
        <w:right w:val="none" w:sz="0" w:space="0" w:color="auto"/>
      </w:divBdr>
    </w:div>
    <w:div w:id="664281296">
      <w:bodyDiv w:val="1"/>
      <w:marLeft w:val="0"/>
      <w:marRight w:val="0"/>
      <w:marTop w:val="0"/>
      <w:marBottom w:val="0"/>
      <w:divBdr>
        <w:top w:val="none" w:sz="0" w:space="0" w:color="auto"/>
        <w:left w:val="none" w:sz="0" w:space="0" w:color="auto"/>
        <w:bottom w:val="none" w:sz="0" w:space="0" w:color="auto"/>
        <w:right w:val="none" w:sz="0" w:space="0" w:color="auto"/>
      </w:divBdr>
      <w:divsChild>
        <w:div w:id="795879518">
          <w:marLeft w:val="0"/>
          <w:marRight w:val="0"/>
          <w:marTop w:val="0"/>
          <w:marBottom w:val="0"/>
          <w:divBdr>
            <w:top w:val="none" w:sz="0" w:space="0" w:color="auto"/>
            <w:left w:val="none" w:sz="0" w:space="0" w:color="auto"/>
            <w:bottom w:val="none" w:sz="0" w:space="0" w:color="auto"/>
            <w:right w:val="none" w:sz="0" w:space="0" w:color="auto"/>
          </w:divBdr>
        </w:div>
      </w:divsChild>
    </w:div>
    <w:div w:id="680201321">
      <w:bodyDiv w:val="1"/>
      <w:marLeft w:val="0"/>
      <w:marRight w:val="0"/>
      <w:marTop w:val="0"/>
      <w:marBottom w:val="0"/>
      <w:divBdr>
        <w:top w:val="none" w:sz="0" w:space="0" w:color="auto"/>
        <w:left w:val="none" w:sz="0" w:space="0" w:color="auto"/>
        <w:bottom w:val="none" w:sz="0" w:space="0" w:color="auto"/>
        <w:right w:val="none" w:sz="0" w:space="0" w:color="auto"/>
      </w:divBdr>
    </w:div>
    <w:div w:id="689263538">
      <w:bodyDiv w:val="1"/>
      <w:marLeft w:val="0"/>
      <w:marRight w:val="0"/>
      <w:marTop w:val="0"/>
      <w:marBottom w:val="0"/>
      <w:divBdr>
        <w:top w:val="none" w:sz="0" w:space="0" w:color="auto"/>
        <w:left w:val="none" w:sz="0" w:space="0" w:color="auto"/>
        <w:bottom w:val="none" w:sz="0" w:space="0" w:color="auto"/>
        <w:right w:val="none" w:sz="0" w:space="0" w:color="auto"/>
      </w:divBdr>
    </w:div>
    <w:div w:id="713501247">
      <w:bodyDiv w:val="1"/>
      <w:marLeft w:val="0"/>
      <w:marRight w:val="0"/>
      <w:marTop w:val="0"/>
      <w:marBottom w:val="0"/>
      <w:divBdr>
        <w:top w:val="none" w:sz="0" w:space="0" w:color="auto"/>
        <w:left w:val="none" w:sz="0" w:space="0" w:color="auto"/>
        <w:bottom w:val="none" w:sz="0" w:space="0" w:color="auto"/>
        <w:right w:val="none" w:sz="0" w:space="0" w:color="auto"/>
      </w:divBdr>
      <w:divsChild>
        <w:div w:id="367339704">
          <w:marLeft w:val="0"/>
          <w:marRight w:val="0"/>
          <w:marTop w:val="0"/>
          <w:marBottom w:val="0"/>
          <w:divBdr>
            <w:top w:val="none" w:sz="0" w:space="0" w:color="auto"/>
            <w:left w:val="none" w:sz="0" w:space="0" w:color="auto"/>
            <w:bottom w:val="none" w:sz="0" w:space="0" w:color="auto"/>
            <w:right w:val="none" w:sz="0" w:space="0" w:color="auto"/>
          </w:divBdr>
        </w:div>
      </w:divsChild>
    </w:div>
    <w:div w:id="764497465">
      <w:bodyDiv w:val="1"/>
      <w:marLeft w:val="0"/>
      <w:marRight w:val="0"/>
      <w:marTop w:val="0"/>
      <w:marBottom w:val="0"/>
      <w:divBdr>
        <w:top w:val="none" w:sz="0" w:space="0" w:color="auto"/>
        <w:left w:val="none" w:sz="0" w:space="0" w:color="auto"/>
        <w:bottom w:val="none" w:sz="0" w:space="0" w:color="auto"/>
        <w:right w:val="none" w:sz="0" w:space="0" w:color="auto"/>
      </w:divBdr>
    </w:div>
    <w:div w:id="812403875">
      <w:bodyDiv w:val="1"/>
      <w:marLeft w:val="0"/>
      <w:marRight w:val="0"/>
      <w:marTop w:val="0"/>
      <w:marBottom w:val="0"/>
      <w:divBdr>
        <w:top w:val="none" w:sz="0" w:space="0" w:color="auto"/>
        <w:left w:val="none" w:sz="0" w:space="0" w:color="auto"/>
        <w:bottom w:val="none" w:sz="0" w:space="0" w:color="auto"/>
        <w:right w:val="none" w:sz="0" w:space="0" w:color="auto"/>
      </w:divBdr>
      <w:divsChild>
        <w:div w:id="2092659077">
          <w:marLeft w:val="0"/>
          <w:marRight w:val="0"/>
          <w:marTop w:val="0"/>
          <w:marBottom w:val="0"/>
          <w:divBdr>
            <w:top w:val="none" w:sz="0" w:space="0" w:color="auto"/>
            <w:left w:val="none" w:sz="0" w:space="0" w:color="auto"/>
            <w:bottom w:val="none" w:sz="0" w:space="0" w:color="auto"/>
            <w:right w:val="none" w:sz="0" w:space="0" w:color="auto"/>
          </w:divBdr>
        </w:div>
      </w:divsChild>
    </w:div>
    <w:div w:id="835220208">
      <w:bodyDiv w:val="1"/>
      <w:marLeft w:val="0"/>
      <w:marRight w:val="0"/>
      <w:marTop w:val="0"/>
      <w:marBottom w:val="0"/>
      <w:divBdr>
        <w:top w:val="none" w:sz="0" w:space="0" w:color="auto"/>
        <w:left w:val="none" w:sz="0" w:space="0" w:color="auto"/>
        <w:bottom w:val="none" w:sz="0" w:space="0" w:color="auto"/>
        <w:right w:val="none" w:sz="0" w:space="0" w:color="auto"/>
      </w:divBdr>
    </w:div>
    <w:div w:id="870070363">
      <w:bodyDiv w:val="1"/>
      <w:marLeft w:val="0"/>
      <w:marRight w:val="0"/>
      <w:marTop w:val="0"/>
      <w:marBottom w:val="0"/>
      <w:divBdr>
        <w:top w:val="none" w:sz="0" w:space="0" w:color="auto"/>
        <w:left w:val="none" w:sz="0" w:space="0" w:color="auto"/>
        <w:bottom w:val="none" w:sz="0" w:space="0" w:color="auto"/>
        <w:right w:val="none" w:sz="0" w:space="0" w:color="auto"/>
      </w:divBdr>
    </w:div>
    <w:div w:id="900753226">
      <w:bodyDiv w:val="1"/>
      <w:marLeft w:val="0"/>
      <w:marRight w:val="0"/>
      <w:marTop w:val="0"/>
      <w:marBottom w:val="0"/>
      <w:divBdr>
        <w:top w:val="none" w:sz="0" w:space="0" w:color="auto"/>
        <w:left w:val="none" w:sz="0" w:space="0" w:color="auto"/>
        <w:bottom w:val="none" w:sz="0" w:space="0" w:color="auto"/>
        <w:right w:val="none" w:sz="0" w:space="0" w:color="auto"/>
      </w:divBdr>
    </w:div>
    <w:div w:id="917400338">
      <w:bodyDiv w:val="1"/>
      <w:marLeft w:val="0"/>
      <w:marRight w:val="0"/>
      <w:marTop w:val="0"/>
      <w:marBottom w:val="0"/>
      <w:divBdr>
        <w:top w:val="none" w:sz="0" w:space="0" w:color="auto"/>
        <w:left w:val="none" w:sz="0" w:space="0" w:color="auto"/>
        <w:bottom w:val="none" w:sz="0" w:space="0" w:color="auto"/>
        <w:right w:val="none" w:sz="0" w:space="0" w:color="auto"/>
      </w:divBdr>
    </w:div>
    <w:div w:id="955138330">
      <w:bodyDiv w:val="1"/>
      <w:marLeft w:val="0"/>
      <w:marRight w:val="0"/>
      <w:marTop w:val="0"/>
      <w:marBottom w:val="0"/>
      <w:divBdr>
        <w:top w:val="none" w:sz="0" w:space="0" w:color="auto"/>
        <w:left w:val="none" w:sz="0" w:space="0" w:color="auto"/>
        <w:bottom w:val="none" w:sz="0" w:space="0" w:color="auto"/>
        <w:right w:val="none" w:sz="0" w:space="0" w:color="auto"/>
      </w:divBdr>
    </w:div>
    <w:div w:id="1035158708">
      <w:bodyDiv w:val="1"/>
      <w:marLeft w:val="0"/>
      <w:marRight w:val="0"/>
      <w:marTop w:val="0"/>
      <w:marBottom w:val="0"/>
      <w:divBdr>
        <w:top w:val="none" w:sz="0" w:space="0" w:color="auto"/>
        <w:left w:val="none" w:sz="0" w:space="0" w:color="auto"/>
        <w:bottom w:val="none" w:sz="0" w:space="0" w:color="auto"/>
        <w:right w:val="none" w:sz="0" w:space="0" w:color="auto"/>
      </w:divBdr>
    </w:div>
    <w:div w:id="1089078570">
      <w:bodyDiv w:val="1"/>
      <w:marLeft w:val="0"/>
      <w:marRight w:val="0"/>
      <w:marTop w:val="0"/>
      <w:marBottom w:val="0"/>
      <w:divBdr>
        <w:top w:val="none" w:sz="0" w:space="0" w:color="auto"/>
        <w:left w:val="none" w:sz="0" w:space="0" w:color="auto"/>
        <w:bottom w:val="none" w:sz="0" w:space="0" w:color="auto"/>
        <w:right w:val="none" w:sz="0" w:space="0" w:color="auto"/>
      </w:divBdr>
    </w:div>
    <w:div w:id="1129906177">
      <w:bodyDiv w:val="1"/>
      <w:marLeft w:val="0"/>
      <w:marRight w:val="0"/>
      <w:marTop w:val="0"/>
      <w:marBottom w:val="0"/>
      <w:divBdr>
        <w:top w:val="none" w:sz="0" w:space="0" w:color="auto"/>
        <w:left w:val="none" w:sz="0" w:space="0" w:color="auto"/>
        <w:bottom w:val="none" w:sz="0" w:space="0" w:color="auto"/>
        <w:right w:val="none" w:sz="0" w:space="0" w:color="auto"/>
      </w:divBdr>
    </w:div>
    <w:div w:id="1164005983">
      <w:bodyDiv w:val="1"/>
      <w:marLeft w:val="0"/>
      <w:marRight w:val="0"/>
      <w:marTop w:val="0"/>
      <w:marBottom w:val="0"/>
      <w:divBdr>
        <w:top w:val="none" w:sz="0" w:space="0" w:color="auto"/>
        <w:left w:val="none" w:sz="0" w:space="0" w:color="auto"/>
        <w:bottom w:val="none" w:sz="0" w:space="0" w:color="auto"/>
        <w:right w:val="none" w:sz="0" w:space="0" w:color="auto"/>
      </w:divBdr>
    </w:div>
    <w:div w:id="1174225584">
      <w:bodyDiv w:val="1"/>
      <w:marLeft w:val="0"/>
      <w:marRight w:val="0"/>
      <w:marTop w:val="0"/>
      <w:marBottom w:val="0"/>
      <w:divBdr>
        <w:top w:val="none" w:sz="0" w:space="0" w:color="auto"/>
        <w:left w:val="none" w:sz="0" w:space="0" w:color="auto"/>
        <w:bottom w:val="none" w:sz="0" w:space="0" w:color="auto"/>
        <w:right w:val="none" w:sz="0" w:space="0" w:color="auto"/>
      </w:divBdr>
    </w:div>
    <w:div w:id="1174227116">
      <w:bodyDiv w:val="1"/>
      <w:marLeft w:val="0"/>
      <w:marRight w:val="0"/>
      <w:marTop w:val="0"/>
      <w:marBottom w:val="0"/>
      <w:divBdr>
        <w:top w:val="none" w:sz="0" w:space="0" w:color="auto"/>
        <w:left w:val="none" w:sz="0" w:space="0" w:color="auto"/>
        <w:bottom w:val="none" w:sz="0" w:space="0" w:color="auto"/>
        <w:right w:val="none" w:sz="0" w:space="0" w:color="auto"/>
      </w:divBdr>
    </w:div>
    <w:div w:id="1211570195">
      <w:bodyDiv w:val="1"/>
      <w:marLeft w:val="0"/>
      <w:marRight w:val="0"/>
      <w:marTop w:val="0"/>
      <w:marBottom w:val="0"/>
      <w:divBdr>
        <w:top w:val="none" w:sz="0" w:space="0" w:color="auto"/>
        <w:left w:val="none" w:sz="0" w:space="0" w:color="auto"/>
        <w:bottom w:val="none" w:sz="0" w:space="0" w:color="auto"/>
        <w:right w:val="none" w:sz="0" w:space="0" w:color="auto"/>
      </w:divBdr>
    </w:div>
    <w:div w:id="1216354071">
      <w:bodyDiv w:val="1"/>
      <w:marLeft w:val="0"/>
      <w:marRight w:val="0"/>
      <w:marTop w:val="0"/>
      <w:marBottom w:val="0"/>
      <w:divBdr>
        <w:top w:val="none" w:sz="0" w:space="0" w:color="auto"/>
        <w:left w:val="none" w:sz="0" w:space="0" w:color="auto"/>
        <w:bottom w:val="none" w:sz="0" w:space="0" w:color="auto"/>
        <w:right w:val="none" w:sz="0" w:space="0" w:color="auto"/>
      </w:divBdr>
    </w:div>
    <w:div w:id="1255433490">
      <w:bodyDiv w:val="1"/>
      <w:marLeft w:val="0"/>
      <w:marRight w:val="0"/>
      <w:marTop w:val="0"/>
      <w:marBottom w:val="0"/>
      <w:divBdr>
        <w:top w:val="none" w:sz="0" w:space="0" w:color="auto"/>
        <w:left w:val="none" w:sz="0" w:space="0" w:color="auto"/>
        <w:bottom w:val="none" w:sz="0" w:space="0" w:color="auto"/>
        <w:right w:val="none" w:sz="0" w:space="0" w:color="auto"/>
      </w:divBdr>
    </w:div>
    <w:div w:id="1315908754">
      <w:bodyDiv w:val="1"/>
      <w:marLeft w:val="0"/>
      <w:marRight w:val="0"/>
      <w:marTop w:val="0"/>
      <w:marBottom w:val="0"/>
      <w:divBdr>
        <w:top w:val="none" w:sz="0" w:space="0" w:color="auto"/>
        <w:left w:val="none" w:sz="0" w:space="0" w:color="auto"/>
        <w:bottom w:val="none" w:sz="0" w:space="0" w:color="auto"/>
        <w:right w:val="none" w:sz="0" w:space="0" w:color="auto"/>
      </w:divBdr>
    </w:div>
    <w:div w:id="1492482978">
      <w:bodyDiv w:val="1"/>
      <w:marLeft w:val="0"/>
      <w:marRight w:val="0"/>
      <w:marTop w:val="0"/>
      <w:marBottom w:val="0"/>
      <w:divBdr>
        <w:top w:val="none" w:sz="0" w:space="0" w:color="auto"/>
        <w:left w:val="none" w:sz="0" w:space="0" w:color="auto"/>
        <w:bottom w:val="none" w:sz="0" w:space="0" w:color="auto"/>
        <w:right w:val="none" w:sz="0" w:space="0" w:color="auto"/>
      </w:divBdr>
    </w:div>
    <w:div w:id="1545289992">
      <w:bodyDiv w:val="1"/>
      <w:marLeft w:val="0"/>
      <w:marRight w:val="0"/>
      <w:marTop w:val="0"/>
      <w:marBottom w:val="0"/>
      <w:divBdr>
        <w:top w:val="none" w:sz="0" w:space="0" w:color="auto"/>
        <w:left w:val="none" w:sz="0" w:space="0" w:color="auto"/>
        <w:bottom w:val="none" w:sz="0" w:space="0" w:color="auto"/>
        <w:right w:val="none" w:sz="0" w:space="0" w:color="auto"/>
      </w:divBdr>
    </w:div>
    <w:div w:id="1562717523">
      <w:bodyDiv w:val="1"/>
      <w:marLeft w:val="0"/>
      <w:marRight w:val="0"/>
      <w:marTop w:val="0"/>
      <w:marBottom w:val="0"/>
      <w:divBdr>
        <w:top w:val="none" w:sz="0" w:space="0" w:color="auto"/>
        <w:left w:val="none" w:sz="0" w:space="0" w:color="auto"/>
        <w:bottom w:val="none" w:sz="0" w:space="0" w:color="auto"/>
        <w:right w:val="none" w:sz="0" w:space="0" w:color="auto"/>
      </w:divBdr>
    </w:div>
    <w:div w:id="1857766694">
      <w:bodyDiv w:val="1"/>
      <w:marLeft w:val="0"/>
      <w:marRight w:val="0"/>
      <w:marTop w:val="0"/>
      <w:marBottom w:val="0"/>
      <w:divBdr>
        <w:top w:val="none" w:sz="0" w:space="0" w:color="auto"/>
        <w:left w:val="none" w:sz="0" w:space="0" w:color="auto"/>
        <w:bottom w:val="none" w:sz="0" w:space="0" w:color="auto"/>
        <w:right w:val="none" w:sz="0" w:space="0" w:color="auto"/>
      </w:divBdr>
      <w:divsChild>
        <w:div w:id="626012500">
          <w:marLeft w:val="0"/>
          <w:marRight w:val="0"/>
          <w:marTop w:val="0"/>
          <w:marBottom w:val="0"/>
          <w:divBdr>
            <w:top w:val="none" w:sz="0" w:space="0" w:color="auto"/>
            <w:left w:val="none" w:sz="0" w:space="0" w:color="auto"/>
            <w:bottom w:val="none" w:sz="0" w:space="0" w:color="auto"/>
            <w:right w:val="none" w:sz="0" w:space="0" w:color="auto"/>
          </w:divBdr>
        </w:div>
      </w:divsChild>
    </w:div>
    <w:div w:id="1953240906">
      <w:bodyDiv w:val="1"/>
      <w:marLeft w:val="0"/>
      <w:marRight w:val="0"/>
      <w:marTop w:val="0"/>
      <w:marBottom w:val="0"/>
      <w:divBdr>
        <w:top w:val="none" w:sz="0" w:space="0" w:color="auto"/>
        <w:left w:val="none" w:sz="0" w:space="0" w:color="auto"/>
        <w:bottom w:val="none" w:sz="0" w:space="0" w:color="auto"/>
        <w:right w:val="none" w:sz="0" w:space="0" w:color="auto"/>
      </w:divBdr>
    </w:div>
    <w:div w:id="2001034781">
      <w:bodyDiv w:val="1"/>
      <w:marLeft w:val="0"/>
      <w:marRight w:val="0"/>
      <w:marTop w:val="0"/>
      <w:marBottom w:val="0"/>
      <w:divBdr>
        <w:top w:val="none" w:sz="0" w:space="0" w:color="auto"/>
        <w:left w:val="none" w:sz="0" w:space="0" w:color="auto"/>
        <w:bottom w:val="none" w:sz="0" w:space="0" w:color="auto"/>
        <w:right w:val="none" w:sz="0" w:space="0" w:color="auto"/>
      </w:divBdr>
    </w:div>
    <w:div w:id="2003969798">
      <w:bodyDiv w:val="1"/>
      <w:marLeft w:val="0"/>
      <w:marRight w:val="0"/>
      <w:marTop w:val="0"/>
      <w:marBottom w:val="0"/>
      <w:divBdr>
        <w:top w:val="none" w:sz="0" w:space="0" w:color="auto"/>
        <w:left w:val="none" w:sz="0" w:space="0" w:color="auto"/>
        <w:bottom w:val="none" w:sz="0" w:space="0" w:color="auto"/>
        <w:right w:val="none" w:sz="0" w:space="0" w:color="auto"/>
      </w:divBdr>
      <w:divsChild>
        <w:div w:id="505438198">
          <w:marLeft w:val="0"/>
          <w:marRight w:val="0"/>
          <w:marTop w:val="0"/>
          <w:marBottom w:val="0"/>
          <w:divBdr>
            <w:top w:val="none" w:sz="0" w:space="0" w:color="auto"/>
            <w:left w:val="none" w:sz="0" w:space="0" w:color="auto"/>
            <w:bottom w:val="none" w:sz="0" w:space="0" w:color="auto"/>
            <w:right w:val="none" w:sz="0" w:space="0" w:color="auto"/>
          </w:divBdr>
        </w:div>
      </w:divsChild>
    </w:div>
    <w:div w:id="2031443663">
      <w:bodyDiv w:val="1"/>
      <w:marLeft w:val="0"/>
      <w:marRight w:val="0"/>
      <w:marTop w:val="0"/>
      <w:marBottom w:val="0"/>
      <w:divBdr>
        <w:top w:val="none" w:sz="0" w:space="0" w:color="auto"/>
        <w:left w:val="none" w:sz="0" w:space="0" w:color="auto"/>
        <w:bottom w:val="none" w:sz="0" w:space="0" w:color="auto"/>
        <w:right w:val="none" w:sz="0" w:space="0" w:color="auto"/>
      </w:divBdr>
    </w:div>
    <w:div w:id="20668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knot.org.au/" TargetMode="External"/><Relationship Id="rId18" Type="http://schemas.openxmlformats.org/officeDocument/2006/relationships/hyperlink" Target="https://qlife.org.au/" TargetMode="External"/><Relationship Id="rId26" Type="http://schemas.openxmlformats.org/officeDocument/2006/relationships/hyperlink" Target="http://www.domesticviolence.nsw.gov.au/__data/assets/file/0020/301178/DVSAT.pdf" TargetMode="External"/><Relationship Id="rId39" Type="http://schemas.openxmlformats.org/officeDocument/2006/relationships/hyperlink" Target="https://www.facebook.com/mariestopesau" TargetMode="External"/><Relationship Id="rId3" Type="http://schemas.openxmlformats.org/officeDocument/2006/relationships/styles" Target="styles.xml"/><Relationship Id="rId21" Type="http://schemas.openxmlformats.org/officeDocument/2006/relationships/hyperlink" Target="https://www.childrenbychoice.org.au/forprofessionals/recognisingviolenceandcoercion/screening-to-safety" TargetMode="External"/><Relationship Id="rId34" Type="http://schemas.openxmlformats.org/officeDocument/2006/relationships/hyperlink" Target="https://www.whin.org.au/resources/sexual-and-reproductive-health-resources/" TargetMode="External"/><Relationship Id="rId42" Type="http://schemas.openxmlformats.org/officeDocument/2006/relationships/hyperlink" Target="https://www.mariestopes.org.au/donate/" TargetMode="External"/><Relationship Id="rId47" Type="http://schemas.openxmlformats.org/officeDocument/2006/relationships/hyperlink" Target="https://www.instagram.com/mariestopesaus/" TargetMode="External"/><Relationship Id="rId50" Type="http://schemas.openxmlformats.org/officeDocument/2006/relationships/hyperlink" Target="mailto:policy@mariestopes.org.au" TargetMode="External"/><Relationship Id="rId7" Type="http://schemas.openxmlformats.org/officeDocument/2006/relationships/endnotes" Target="endnotes.xml"/><Relationship Id="rId12" Type="http://schemas.openxmlformats.org/officeDocument/2006/relationships/hyperlink" Target="https://www.beyondblue.org.au/" TargetMode="External"/><Relationship Id="rId17" Type="http://schemas.openxmlformats.org/officeDocument/2006/relationships/hyperlink" Target="https://mindspot.org.au/" TargetMode="External"/><Relationship Id="rId25" Type="http://schemas.openxmlformats.org/officeDocument/2006/relationships/hyperlink" Target="https://www.health.qld.gov.au/__data/assets/pdf_file/0032/712688/qh-gdl-456.pdf" TargetMode="External"/><Relationship Id="rId33" Type="http://schemas.openxmlformats.org/officeDocument/2006/relationships/hyperlink" Target="https://whv.org.au/resources/whv-publications/forum-proceedings-addressing-reproductive-coercion-access-and-equity-iii" TargetMode="External"/><Relationship Id="rId38" Type="http://schemas.openxmlformats.org/officeDocument/2006/relationships/hyperlink" Target="https://twitter.com/mariestopesaus" TargetMode="External"/><Relationship Id="rId46" Type="http://schemas.openxmlformats.org/officeDocument/2006/relationships/hyperlink" Target="https://www.facebook.com/mariestopesau" TargetMode="External"/><Relationship Id="rId2" Type="http://schemas.openxmlformats.org/officeDocument/2006/relationships/numbering" Target="numbering.xml"/><Relationship Id="rId16" Type="http://schemas.openxmlformats.org/officeDocument/2006/relationships/hyperlink" Target="https://mensline.org.au/" TargetMode="External"/><Relationship Id="rId20" Type="http://schemas.openxmlformats.org/officeDocument/2006/relationships/hyperlink" Target="https://www.sane.org/" TargetMode="External"/><Relationship Id="rId29" Type="http://schemas.openxmlformats.org/officeDocument/2006/relationships/hyperlink" Target="http://www.dpac.tas.gov.au/__data/assets/pdf_file/0007/404566/180572_DPAC_Responding_and_Reporting_Document_2018_wcag.pdf" TargetMode="External"/><Relationship Id="rId41" Type="http://schemas.openxmlformats.org/officeDocument/2006/relationships/hyperlink" Target="https://www.mariestope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800respect.org.au/resources-and-tools/work-induced-stress-and-trauma/" TargetMode="External"/><Relationship Id="rId24" Type="http://schemas.openxmlformats.org/officeDocument/2006/relationships/hyperlink" Target="https://providers.dhhs.vic.gov.au/family-violence-risk-assessment-and-risk-management-framework" TargetMode="External"/><Relationship Id="rId32" Type="http://schemas.openxmlformats.org/officeDocument/2006/relationships/hyperlink" Target="https://www.cersh.com.au/resource-hub/training-and-support/reproductive-coercion/" TargetMode="External"/><Relationship Id="rId37" Type="http://schemas.openxmlformats.org/officeDocument/2006/relationships/image" Target="media/image3.jpeg"/><Relationship Id="rId40" Type="http://schemas.openxmlformats.org/officeDocument/2006/relationships/hyperlink" Target="https://www.instagram.com/mariestopesaus/" TargetMode="External"/><Relationship Id="rId45" Type="http://schemas.openxmlformats.org/officeDocument/2006/relationships/hyperlink" Target="https://twitter.com/mariestopesau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feline.org.au/" TargetMode="External"/><Relationship Id="rId23" Type="http://schemas.openxmlformats.org/officeDocument/2006/relationships/hyperlink" Target="https://ww2.health.wa.gov.au/Articles/F_I/Family-and-domestic-violence-guideline-reference-manual-policy-education-and-training" TargetMode="External"/><Relationship Id="rId28" Type="http://schemas.openxmlformats.org/officeDocument/2006/relationships/hyperlink" Target="https://territoryfamilies.nt.gov.au/domestic-violence/domestic-and-family-violence-reduction-strategy" TargetMode="External"/><Relationship Id="rId36" Type="http://schemas.openxmlformats.org/officeDocument/2006/relationships/footer" Target="footer1.xml"/><Relationship Id="rId49" Type="http://schemas.openxmlformats.org/officeDocument/2006/relationships/hyperlink" Target="https://www.mariestopes.org.au/donate/" TargetMode="External"/><Relationship Id="rId10" Type="http://schemas.openxmlformats.org/officeDocument/2006/relationships/image" Target="media/image2.jpeg"/><Relationship Id="rId19" Type="http://schemas.openxmlformats.org/officeDocument/2006/relationships/hyperlink" Target="https://www.panda.org.au/" TargetMode="External"/><Relationship Id="rId31" Type="http://schemas.openxmlformats.org/officeDocument/2006/relationships/hyperlink" Target="https://ama.com.au/article/ama-family-violence-resource" TargetMode="External"/><Relationship Id="rId44" Type="http://schemas.openxmlformats.org/officeDocument/2006/relationships/image" Target="media/image4.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gri\Dropbox\My%20PC%20(DESKTOP-U8EDPHS)\Downloads\Hidden-Forces-Second-Edition-1%20Tiny_Tweaks26112020.docx" TargetMode="External"/><Relationship Id="rId14" Type="http://schemas.openxmlformats.org/officeDocument/2006/relationships/hyperlink" Target="https://thebutterflyfoundation.org.au/our-services/helpline/over-the-phone/" TargetMode="External"/><Relationship Id="rId22" Type="http://schemas.openxmlformats.org/officeDocument/2006/relationships/hyperlink" Target="https://www.thewomens.org.au/health-professionals/clinical-resources/strengthening-hospitals-response-to-family-violence" TargetMode="External"/><Relationship Id="rId27" Type="http://schemas.openxmlformats.org/officeDocument/2006/relationships/hyperlink" Target="http://cope.org.au/wp-content/uploads/2017/11/ANRQ-_Questionnaire.pdf" TargetMode="External"/><Relationship Id="rId30" Type="http://schemas.openxmlformats.org/officeDocument/2006/relationships/hyperlink" Target="http://www.mbsonline.gov.au/internet/mbsonline/publishing.nsf/Content/Factsheet-ObstetricsServices" TargetMode="External"/><Relationship Id="rId35" Type="http://schemas.openxmlformats.org/officeDocument/2006/relationships/hyperlink" Target="https://www.safetyandquality.gov.au/standards/nsqhs-standards" TargetMode="External"/><Relationship Id="rId43" Type="http://schemas.openxmlformats.org/officeDocument/2006/relationships/hyperlink" Target="mailto:policy@mariestopes.org.au" TargetMode="External"/><Relationship Id="rId48" Type="http://schemas.openxmlformats.org/officeDocument/2006/relationships/hyperlink" Target="https://www.mariestopes.org.au/" TargetMode="External"/><Relationship Id="rId8" Type="http://schemas.openxmlformats.org/officeDocument/2006/relationships/image" Target="media/image1.jpeg"/><Relationship Id="rId51" Type="http://schemas.openxmlformats.org/officeDocument/2006/relationships/image" Target="media/image5.png"/></Relationships>
</file>

<file path=word/_rels/endnotes.xml.rels><?xml version="1.0" encoding="UTF-8" standalone="yes"?>
<Relationships xmlns="http://schemas.openxmlformats.org/package/2006/relationships"><Relationship Id="rId8" Type="http://schemas.openxmlformats.org/officeDocument/2006/relationships/hyperlink" Target="http://unesdoc.unesco.org/images/0018/001807/180707e.pdf" TargetMode="External"/><Relationship Id="rId3" Type="http://schemas.openxmlformats.org/officeDocument/2006/relationships/hyperlink" Target="https://www.who.int/health-topics/violence-against-women" TargetMode="External"/><Relationship Id="rId7" Type="http://schemas.openxmlformats.org/officeDocument/2006/relationships/hyperlink" Target="https://www.ourwatch.org.au/news-media/reporting-guidelines" TargetMode="External"/><Relationship Id="rId12" Type="http://schemas.openxmlformats.org/officeDocument/2006/relationships/hyperlink" Target="https://www.mariestopes.org.au/donate/" TargetMode="External"/><Relationship Id="rId2" Type="http://schemas.openxmlformats.org/officeDocument/2006/relationships/hyperlink" Target="https://theconversation.com/after-a-deadly-month-for-domestic-violence-the-message-doesnt-appear-to-be-getting-through-105568" TargetMode="External"/><Relationship Id="rId1" Type="http://schemas.openxmlformats.org/officeDocument/2006/relationships/hyperlink" Target="https://www.saferfamilies.org.au/discuss/" TargetMode="External"/><Relationship Id="rId6" Type="http://schemas.openxmlformats.org/officeDocument/2006/relationships/hyperlink" Target="http://www.casahouse.com.au/index.php?page_id=156" TargetMode="External"/><Relationship Id="rId11" Type="http://schemas.openxmlformats.org/officeDocument/2006/relationships/hyperlink" Target="https://resources.mariestopes.org.au/SRHRinAustralia.pdf" TargetMode="External"/><Relationship Id="rId5" Type="http://schemas.openxmlformats.org/officeDocument/2006/relationships/hyperlink" Target="https://theconversation.com/after-a-deadly-month-for-domestic-violence-the-message-doesnt-appear-to-be-getting-through-105568" TargetMode="External"/><Relationship Id="rId10" Type="http://schemas.openxmlformats.org/officeDocument/2006/relationships/hyperlink" Target="https://www.reproductiverights.org/sites/crr.civicactions.net/files/documents/crr_Monitoring_Tool_State_Obligations.pdf" TargetMode="External"/><Relationship Id="rId4" Type="http://schemas.openxmlformats.org/officeDocument/2006/relationships/hyperlink" Target="https://www.saferfamilies.org.au/discuss/" TargetMode="External"/><Relationship Id="rId9" Type="http://schemas.openxmlformats.org/officeDocument/2006/relationships/hyperlink" Target="https://www.jw.org/en/publications/bible/study-bible/books/1-corinthians/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9064-7C46-447A-A995-952B8D43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24008</Words>
  <Characters>136847</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160534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Corbin</dc:creator>
  <cp:keywords/>
  <dc:description/>
  <cp:lastModifiedBy>Sigrid Firth</cp:lastModifiedBy>
  <cp:revision>4</cp:revision>
  <cp:lastPrinted>2020-10-05T05:11:00Z</cp:lastPrinted>
  <dcterms:created xsi:type="dcterms:W3CDTF">2020-11-27T00:25:00Z</dcterms:created>
  <dcterms:modified xsi:type="dcterms:W3CDTF">2020-11-27T00:26:00Z</dcterms:modified>
</cp:coreProperties>
</file>